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5E41" w:rsidRDefault="001F0DDA" w:rsidP="00825045">
      <w:pPr>
        <w:spacing w:before="0" w:after="0"/>
        <w:rPr>
          <w:rFonts w:hint="default"/>
          <w:sz w:val="24"/>
        </w:rPr>
      </w:pPr>
      <w:r>
        <w:rPr>
          <w:rFonts w:ascii="宋体" w:hAnsi="宋体"/>
          <w:sz w:val="24"/>
        </w:rPr>
        <w:t>证券代码：</w:t>
      </w:r>
      <w:r>
        <w:rPr>
          <w:sz w:val="24"/>
        </w:rPr>
        <w:t>000759</w:t>
      </w:r>
      <w:r>
        <w:rPr>
          <w:rFonts w:ascii="宋体" w:hAnsi="宋体"/>
          <w:sz w:val="24"/>
        </w:rPr>
        <w:t xml:space="preserve">             </w:t>
      </w:r>
      <w:r>
        <w:rPr>
          <w:rFonts w:ascii="宋体" w:hAnsi="宋体"/>
          <w:sz w:val="24"/>
        </w:rPr>
        <w:t>证券简称：中百集团</w:t>
      </w:r>
      <w:r>
        <w:rPr>
          <w:rFonts w:ascii="宋体" w:hAnsi="宋体"/>
          <w:sz w:val="24"/>
        </w:rPr>
        <w:t xml:space="preserve">               </w:t>
      </w:r>
      <w:r>
        <w:rPr>
          <w:rFonts w:ascii="宋体" w:hAnsi="宋体"/>
          <w:sz w:val="24"/>
        </w:rPr>
        <w:t>公告编号：</w:t>
      </w:r>
      <w:r>
        <w:rPr>
          <w:sz w:val="24"/>
        </w:rPr>
        <w:t>2021</w:t>
      </w:r>
      <w:r>
        <w:rPr>
          <w:rFonts w:ascii="宋体" w:hAnsi="宋体"/>
          <w:sz w:val="24"/>
        </w:rPr>
        <w:t>-</w:t>
      </w:r>
      <w:r>
        <w:rPr>
          <w:sz w:val="24"/>
        </w:rPr>
        <w:t>06</w:t>
      </w:r>
      <w:r>
        <w:rPr>
          <w:sz w:val="24"/>
        </w:rPr>
        <w:t>7</w:t>
      </w:r>
    </w:p>
    <w:p w:rsidR="00EE5E41" w:rsidRDefault="00EE5E41" w:rsidP="00825045">
      <w:pPr>
        <w:spacing w:before="0" w:after="0"/>
        <w:rPr>
          <w:rFonts w:hint="default"/>
          <w:sz w:val="24"/>
        </w:rPr>
      </w:pPr>
    </w:p>
    <w:p w:rsidR="00EE5E41" w:rsidRDefault="001F0DDA" w:rsidP="00825045">
      <w:pPr>
        <w:adjustRightInd w:val="0"/>
        <w:snapToGrid w:val="0"/>
        <w:spacing w:before="0" w:after="0" w:line="500" w:lineRule="exact"/>
        <w:jc w:val="center"/>
        <w:rPr>
          <w:rFonts w:ascii="黑体" w:eastAsia="黑体" w:hAnsi="黑体" w:hint="default"/>
          <w:sz w:val="36"/>
        </w:rPr>
      </w:pPr>
      <w:r>
        <w:rPr>
          <w:rFonts w:ascii="黑体" w:eastAsia="黑体" w:hAnsi="黑体"/>
          <w:sz w:val="36"/>
        </w:rPr>
        <w:t>中百控股集团股份有限公司</w:t>
      </w:r>
    </w:p>
    <w:p w:rsidR="00EE5E41" w:rsidRDefault="001F0DDA" w:rsidP="00825045">
      <w:pPr>
        <w:adjustRightInd w:val="0"/>
        <w:snapToGrid w:val="0"/>
        <w:spacing w:before="0" w:after="0" w:line="500" w:lineRule="exact"/>
        <w:jc w:val="center"/>
        <w:rPr>
          <w:rFonts w:ascii="黑体" w:eastAsia="黑体" w:hAnsi="黑体" w:hint="default"/>
          <w:sz w:val="30"/>
        </w:rPr>
      </w:pPr>
      <w:r>
        <w:rPr>
          <w:rFonts w:ascii="黑体" w:eastAsia="黑体" w:hAnsi="黑体"/>
          <w:sz w:val="36"/>
        </w:rPr>
        <w:t>2021</w:t>
      </w:r>
      <w:r>
        <w:rPr>
          <w:rFonts w:ascii="黑体" w:eastAsia="黑体" w:hAnsi="黑体"/>
          <w:sz w:val="36"/>
        </w:rPr>
        <w:t>年第三季度报告</w:t>
      </w:r>
    </w:p>
    <w:p w:rsidR="00EE5E41" w:rsidRDefault="00EE5E41" w:rsidP="00825045">
      <w:pPr>
        <w:tabs>
          <w:tab w:val="left" w:pos="3240"/>
        </w:tabs>
        <w:spacing w:line="500" w:lineRule="exact"/>
        <w:jc w:val="center"/>
        <w:rPr>
          <w:rFonts w:ascii="黑体" w:eastAsia="黑体" w:hAnsi="黑体" w:hint="default"/>
          <w:sz w:val="36"/>
        </w:rPr>
      </w:pPr>
      <w:r w:rsidRPr="00EE5E41">
        <w:rPr>
          <w:rFonts w:ascii="仿宋" w:eastAsia="仿宋" w:hAnsi="仿宋" w:hint="default"/>
          <w:b/>
          <w:sz w:val="24"/>
        </w:rPr>
        <w:pict>
          <v:rect id="Rectangle 17" o:spid="_x0000_s1026" style="position:absolute;left:0;text-align:left;margin-left:1.3pt;margin-top:8.6pt;width:483.05pt;height:57pt;z-index:251658240" o:gfxdata="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CR+tHWAAAACAEAAA8AAAAAAAAAAQAgAAAAIgAAAGRycy9kb3ducmV2LnhtbFBL&#10;AQIUABQAAAAIAIdO4kAEJ01O+AEAAAQEAAAOAAAAAAAAAAEAIAAAACUBAABkcnMvZTJvRG9jLnht&#10;bFBLBQYAAAAABgAGAFkBAACPBQAAAAA=&#10;">
            <v:textbox>
              <w:txbxContent>
                <w:p w:rsidR="00EE5E41" w:rsidRDefault="001F0DDA">
                  <w:pPr>
                    <w:spacing w:line="440" w:lineRule="exact"/>
                    <w:ind w:firstLineChars="200" w:firstLine="480"/>
                    <w:jc w:val="left"/>
                    <w:rPr>
                      <w:rFonts w:ascii="楷体_GB2312" w:eastAsia="楷体_GB2312" w:hint="default"/>
                      <w:sz w:val="24"/>
                    </w:rPr>
                  </w:pPr>
                  <w:r>
                    <w:rPr>
                      <w:rFonts w:ascii="楷体_GB2312" w:eastAsia="楷体_GB2312"/>
                      <w:sz w:val="24"/>
                    </w:rPr>
                    <w:t>本公司及董事会全体成员保证信息披露的内容真实、准确、完整，没有虚假记载、误导性陈述或重大遗漏。</w:t>
                  </w:r>
                </w:p>
              </w:txbxContent>
            </v:textbox>
          </v:rect>
        </w:pict>
      </w:r>
    </w:p>
    <w:p w:rsidR="00EE5E41" w:rsidRDefault="00EE5E41" w:rsidP="00825045">
      <w:pPr>
        <w:adjustRightInd w:val="0"/>
        <w:snapToGrid w:val="0"/>
        <w:spacing w:before="300" w:after="0"/>
        <w:rPr>
          <w:rFonts w:ascii="黑体" w:eastAsia="黑体" w:hAnsi="黑体" w:hint="default"/>
          <w:sz w:val="24"/>
        </w:rPr>
      </w:pPr>
    </w:p>
    <w:p w:rsidR="00EE5E41" w:rsidRDefault="001F0DDA" w:rsidP="00825045">
      <w:pPr>
        <w:adjustRightInd w:val="0"/>
        <w:snapToGrid w:val="0"/>
        <w:spacing w:before="400" w:after="0"/>
        <w:rPr>
          <w:rFonts w:ascii="黑体" w:eastAsia="黑体" w:hAnsi="黑体" w:hint="default"/>
          <w:sz w:val="24"/>
        </w:rPr>
      </w:pPr>
      <w:r>
        <w:rPr>
          <w:rFonts w:ascii="黑体" w:eastAsia="黑体" w:hAnsi="黑体"/>
          <w:sz w:val="24"/>
        </w:rPr>
        <w:t>重要内容提示</w:t>
      </w:r>
      <w:r>
        <w:rPr>
          <w:rFonts w:ascii="黑体" w:eastAsia="黑体" w:hAnsi="黑体"/>
          <w:sz w:val="24"/>
        </w:rPr>
        <w:t>:</w:t>
      </w:r>
    </w:p>
    <w:p w:rsidR="00EE5E41" w:rsidRDefault="001F0DDA" w:rsidP="00825045">
      <w:pPr>
        <w:adjustRightInd w:val="0"/>
        <w:snapToGrid w:val="0"/>
        <w:spacing w:before="0" w:after="0"/>
        <w:rPr>
          <w:rFonts w:hint="default"/>
          <w:sz w:val="24"/>
        </w:rPr>
      </w:pPr>
      <w:r>
        <w:rPr>
          <w:sz w:val="24"/>
        </w:rPr>
        <w:t>1.</w:t>
      </w:r>
      <w:r>
        <w:rPr>
          <w:sz w:val="24"/>
        </w:rPr>
        <w:t>董事会、监事会及董事、监事、高级管理人员保证季度报告的真实、准确、完整，不存在虚假记载、误导性陈述或重大遗漏，并承担个别和连带的法律责任。</w:t>
      </w:r>
    </w:p>
    <w:p w:rsidR="00EE5E41" w:rsidRDefault="001F0DDA" w:rsidP="002D2048">
      <w:pPr>
        <w:adjustRightInd w:val="0"/>
        <w:snapToGrid w:val="0"/>
        <w:spacing w:beforeLines="50" w:after="0"/>
        <w:jc w:val="left"/>
        <w:rPr>
          <w:rFonts w:hint="default"/>
          <w:sz w:val="24"/>
        </w:rPr>
      </w:pPr>
      <w:r>
        <w:rPr>
          <w:sz w:val="24"/>
        </w:rPr>
        <w:t>2.</w:t>
      </w:r>
      <w:r>
        <w:rPr>
          <w:sz w:val="24"/>
        </w:rPr>
        <w:t>公司负责人、主管会计工作负责人及会计机构负责人</w:t>
      </w:r>
      <w:r>
        <w:rPr>
          <w:sz w:val="24"/>
        </w:rPr>
        <w:t>(</w:t>
      </w:r>
      <w:r>
        <w:rPr>
          <w:sz w:val="24"/>
        </w:rPr>
        <w:t>会计主管人员</w:t>
      </w:r>
      <w:r>
        <w:rPr>
          <w:sz w:val="24"/>
        </w:rPr>
        <w:t>)</w:t>
      </w:r>
      <w:r>
        <w:rPr>
          <w:sz w:val="24"/>
        </w:rPr>
        <w:t>声明：保证季度报告中财务信息的真实、准确、完整。</w:t>
      </w:r>
    </w:p>
    <w:p w:rsidR="00EE5E41" w:rsidRDefault="001F0DDA" w:rsidP="002D2048">
      <w:pPr>
        <w:adjustRightInd w:val="0"/>
        <w:snapToGrid w:val="0"/>
        <w:spacing w:beforeLines="50" w:after="0"/>
        <w:jc w:val="left"/>
        <w:rPr>
          <w:rFonts w:hint="default"/>
          <w:sz w:val="24"/>
        </w:rPr>
      </w:pPr>
      <w:r>
        <w:rPr>
          <w:sz w:val="24"/>
        </w:rPr>
        <w:t>3.</w:t>
      </w:r>
      <w:r>
        <w:rPr>
          <w:sz w:val="24"/>
        </w:rPr>
        <w:t>第三季度报告是否经过审计</w:t>
      </w:r>
    </w:p>
    <w:p w:rsidR="00EE5E41" w:rsidRDefault="001F0DDA" w:rsidP="00825045">
      <w:pPr>
        <w:adjustRightInd w:val="0"/>
        <w:snapToGrid w:val="0"/>
        <w:spacing w:before="0" w:after="0"/>
        <w:rPr>
          <w:rFonts w:hint="default"/>
          <w:sz w:val="24"/>
        </w:rPr>
      </w:pPr>
      <w:r>
        <w:rPr>
          <w:sz w:val="24"/>
        </w:rPr>
        <w:t>□</w:t>
      </w:r>
      <w:r>
        <w:rPr>
          <w:sz w:val="24"/>
        </w:rPr>
        <w:t xml:space="preserve"> </w:t>
      </w:r>
      <w:r>
        <w:rPr>
          <w:sz w:val="24"/>
        </w:rPr>
        <w:t>是</w:t>
      </w:r>
      <w:r>
        <w:rPr>
          <w:sz w:val="24"/>
        </w:rPr>
        <w:t xml:space="preserve"> </w:t>
      </w:r>
      <w:bookmarkStart w:id="0" w:name="_GoBack"/>
      <w:bookmarkEnd w:id="0"/>
      <w:r>
        <w:rPr>
          <w:rFonts w:hint="default"/>
          <w:sz w:val="24"/>
          <w:szCs w:val="22"/>
        </w:rPr>
        <w:t>√</w:t>
      </w:r>
      <w:r>
        <w:rPr>
          <w:sz w:val="24"/>
          <w:szCs w:val="22"/>
        </w:rPr>
        <w:t xml:space="preserve"> </w:t>
      </w:r>
      <w:r>
        <w:rPr>
          <w:sz w:val="24"/>
        </w:rPr>
        <w:t>否</w:t>
      </w:r>
      <w:r>
        <w:rPr>
          <w:sz w:val="24"/>
        </w:rPr>
        <w:t xml:space="preserve"> </w:t>
      </w:r>
    </w:p>
    <w:p w:rsidR="00EE5E41" w:rsidRDefault="001F0DDA" w:rsidP="00825045">
      <w:pPr>
        <w:pStyle w:val="Chapter"/>
        <w:keepNext w:val="0"/>
        <w:keepLines w:val="0"/>
        <w:adjustRightInd w:val="0"/>
        <w:snapToGrid w:val="0"/>
        <w:spacing w:after="0" w:line="240" w:lineRule="auto"/>
        <w:outlineLvl w:val="1"/>
        <w:rPr>
          <w:rFonts w:ascii="黑体" w:eastAsia="黑体" w:hAnsi="黑体" w:hint="default"/>
          <w:b w:val="0"/>
        </w:rPr>
      </w:pPr>
      <w:r>
        <w:rPr>
          <w:rFonts w:ascii="黑体" w:eastAsia="黑体" w:hAnsi="黑体"/>
          <w:b w:val="0"/>
        </w:rPr>
        <w:t>一、主要财务数据</w:t>
      </w:r>
    </w:p>
    <w:p w:rsidR="00EE5E41" w:rsidRDefault="001F0DDA" w:rsidP="00825045">
      <w:pPr>
        <w:adjustRightInd w:val="0"/>
        <w:snapToGrid w:val="0"/>
        <w:spacing w:before="0" w:after="0"/>
        <w:jc w:val="left"/>
        <w:rPr>
          <w:rFonts w:hint="default"/>
          <w:sz w:val="24"/>
        </w:rPr>
      </w:pPr>
      <w:r>
        <w:rPr>
          <w:sz w:val="24"/>
        </w:rPr>
        <w:t>(</w:t>
      </w:r>
      <w:r>
        <w:rPr>
          <w:sz w:val="24"/>
        </w:rPr>
        <w:t>一</w:t>
      </w:r>
      <w:r>
        <w:rPr>
          <w:sz w:val="24"/>
        </w:rPr>
        <w:t>)</w:t>
      </w:r>
      <w:r>
        <w:rPr>
          <w:sz w:val="24"/>
        </w:rPr>
        <w:t>主要会计数据和财务指标</w:t>
      </w:r>
    </w:p>
    <w:p w:rsidR="00EE5E41" w:rsidRDefault="001F0DDA" w:rsidP="00825045">
      <w:pPr>
        <w:adjustRightInd w:val="0"/>
        <w:snapToGrid w:val="0"/>
        <w:spacing w:before="0" w:after="0"/>
        <w:jc w:val="left"/>
        <w:rPr>
          <w:rFonts w:hint="default"/>
          <w:sz w:val="24"/>
        </w:rPr>
      </w:pPr>
      <w:r>
        <w:rPr>
          <w:sz w:val="24"/>
        </w:rPr>
        <w:t>公司是否需追溯调整或重述以前年度会计数据</w:t>
      </w:r>
    </w:p>
    <w:p w:rsidR="00EE5E41" w:rsidRDefault="001F0DDA" w:rsidP="00825045">
      <w:pPr>
        <w:adjustRightInd w:val="0"/>
        <w:snapToGrid w:val="0"/>
        <w:spacing w:before="0" w:after="0"/>
        <w:jc w:val="left"/>
        <w:rPr>
          <w:rFonts w:hint="default"/>
          <w:sz w:val="24"/>
        </w:rPr>
      </w:pPr>
      <w:r>
        <w:rPr>
          <w:sz w:val="24"/>
        </w:rPr>
        <w:t>□</w:t>
      </w:r>
      <w:r>
        <w:rPr>
          <w:sz w:val="24"/>
        </w:rPr>
        <w:t xml:space="preserve"> </w:t>
      </w:r>
      <w:r>
        <w:rPr>
          <w:sz w:val="24"/>
        </w:rPr>
        <w:t>是</w:t>
      </w:r>
      <w:r>
        <w:rPr>
          <w:sz w:val="24"/>
        </w:rPr>
        <w:t xml:space="preserve"> </w:t>
      </w:r>
      <w:r>
        <w:rPr>
          <w:rFonts w:hint="default"/>
          <w:sz w:val="24"/>
          <w:szCs w:val="22"/>
        </w:rPr>
        <w:t>√</w:t>
      </w:r>
      <w:r>
        <w:rPr>
          <w:sz w:val="24"/>
        </w:rPr>
        <w:t xml:space="preserve"> </w:t>
      </w:r>
      <w:r>
        <w:rPr>
          <w:sz w:val="24"/>
        </w:rPr>
        <w:t>否</w:t>
      </w:r>
      <w:r>
        <w:rPr>
          <w:sz w:val="24"/>
        </w:rPr>
        <w:t xml:space="preserve"> </w:t>
      </w:r>
    </w:p>
    <w:tbl>
      <w:tblPr>
        <w:tblW w:w="9570" w:type="dxa"/>
        <w:tblInd w:w="108" w:type="dxa"/>
        <w:tblLayout w:type="fixed"/>
        <w:tblCellMar>
          <w:left w:w="28" w:type="dxa"/>
          <w:right w:w="57" w:type="dxa"/>
        </w:tblCellMar>
        <w:tblLook w:val="04A0"/>
      </w:tblPr>
      <w:tblGrid>
        <w:gridCol w:w="2255"/>
        <w:gridCol w:w="1930"/>
        <w:gridCol w:w="1860"/>
        <w:gridCol w:w="1815"/>
        <w:gridCol w:w="1710"/>
      </w:tblGrid>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center"/>
              <w:rPr>
                <w:rFonts w:ascii="宋体" w:hAnsi="宋体" w:hint="default"/>
                <w:sz w:val="21"/>
              </w:rPr>
            </w:pP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ascii="宋体" w:hAnsi="宋体" w:hint="default"/>
                <w:sz w:val="21"/>
              </w:rPr>
            </w:pPr>
            <w:r>
              <w:rPr>
                <w:rFonts w:ascii="宋体" w:hAnsi="宋体"/>
                <w:sz w:val="21"/>
              </w:rPr>
              <w:t>本报告期</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ascii="宋体" w:hAnsi="宋体" w:hint="default"/>
                <w:sz w:val="21"/>
              </w:rPr>
            </w:pPr>
            <w:r>
              <w:rPr>
                <w:rFonts w:ascii="宋体" w:hAnsi="宋体"/>
                <w:sz w:val="21"/>
              </w:rPr>
              <w:t>本报告期比上年同期增减</w:t>
            </w:r>
          </w:p>
        </w:tc>
        <w:tc>
          <w:tcPr>
            <w:tcW w:w="181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ascii="宋体" w:hAnsi="宋体" w:hint="default"/>
                <w:sz w:val="21"/>
              </w:rPr>
            </w:pPr>
            <w:r>
              <w:rPr>
                <w:rFonts w:ascii="宋体" w:hAnsi="宋体"/>
                <w:sz w:val="21"/>
              </w:rPr>
              <w:t>年初至报告期末</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ascii="宋体" w:hAnsi="宋体" w:hint="default"/>
                <w:sz w:val="21"/>
              </w:rPr>
            </w:pPr>
            <w:r>
              <w:rPr>
                <w:rFonts w:ascii="宋体" w:hAnsi="宋体"/>
                <w:sz w:val="21"/>
              </w:rPr>
              <w:t>年初至报告期末比上年同期增减</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ascii="宋体" w:hAnsi="宋体" w:hint="default"/>
                <w:sz w:val="21"/>
              </w:rPr>
            </w:pPr>
            <w:r>
              <w:rPr>
                <w:rFonts w:ascii="宋体" w:hAnsi="宋体"/>
                <w:sz w:val="21"/>
              </w:rPr>
              <w:t>营业收入（元）</w:t>
            </w: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3,003,255,899.31</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-4.89%</w:t>
            </w:r>
          </w:p>
        </w:tc>
        <w:tc>
          <w:tcPr>
            <w:tcW w:w="181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9,337,681,836.78</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-8.70%</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ascii="宋体" w:hAnsi="宋体" w:hint="default"/>
                <w:sz w:val="21"/>
              </w:rPr>
            </w:pPr>
            <w:r>
              <w:rPr>
                <w:rFonts w:ascii="宋体" w:hAnsi="宋体"/>
                <w:sz w:val="21"/>
              </w:rPr>
              <w:t>归属于上市公司股东的净利润（元）</w:t>
            </w: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-32,439,861.96</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-123.21%</w:t>
            </w:r>
          </w:p>
        </w:tc>
        <w:tc>
          <w:tcPr>
            <w:tcW w:w="181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-24,718,548.15</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-136.77%</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ascii="宋体" w:hAnsi="宋体" w:hint="default"/>
                <w:sz w:val="21"/>
              </w:rPr>
            </w:pPr>
            <w:r>
              <w:rPr>
                <w:rFonts w:ascii="宋体" w:hAnsi="宋体"/>
                <w:sz w:val="21"/>
              </w:rPr>
              <w:t>归属于上市公司股东的扣除非经常性损益的净利润（元）</w:t>
            </w: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-44,917,731.51</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-141.51%</w:t>
            </w:r>
          </w:p>
        </w:tc>
        <w:tc>
          <w:tcPr>
            <w:tcW w:w="181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-76,607,265.27</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-60.81%</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ascii="宋体" w:hAnsi="宋体" w:hint="default"/>
                <w:sz w:val="21"/>
              </w:rPr>
            </w:pPr>
            <w:r>
              <w:rPr>
                <w:rFonts w:ascii="宋体" w:hAnsi="宋体"/>
                <w:sz w:val="21"/>
              </w:rPr>
              <w:t>经营活动产生的现金流量净额（元）</w:t>
            </w: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ascii="宋体" w:hAnsi="宋体" w:hint="default"/>
                <w:sz w:val="21"/>
              </w:rPr>
            </w:pPr>
            <w:r>
              <w:rPr>
                <w:rFonts w:ascii="宋体" w:hAnsi="宋体"/>
                <w:sz w:val="21"/>
              </w:rPr>
              <w:t>——</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ascii="宋体" w:hAnsi="宋体" w:hint="default"/>
                <w:sz w:val="21"/>
              </w:rPr>
            </w:pPr>
            <w:r>
              <w:rPr>
                <w:rFonts w:ascii="宋体" w:hAnsi="宋体"/>
                <w:sz w:val="21"/>
              </w:rPr>
              <w:t>——</w:t>
            </w:r>
          </w:p>
        </w:tc>
        <w:tc>
          <w:tcPr>
            <w:tcW w:w="181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1,057,979,696.52</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26.24%</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ascii="宋体" w:hAnsi="宋体" w:hint="default"/>
                <w:sz w:val="21"/>
              </w:rPr>
            </w:pPr>
            <w:r>
              <w:rPr>
                <w:rFonts w:ascii="宋体" w:hAnsi="宋体"/>
                <w:sz w:val="21"/>
              </w:rPr>
              <w:t>基本每股收益（元</w:t>
            </w:r>
            <w:r>
              <w:rPr>
                <w:rFonts w:ascii="宋体" w:hAnsi="宋体"/>
                <w:sz w:val="21"/>
              </w:rPr>
              <w:t>/</w:t>
            </w:r>
            <w:r>
              <w:rPr>
                <w:rFonts w:ascii="宋体" w:hAnsi="宋体"/>
                <w:sz w:val="21"/>
              </w:rPr>
              <w:t>股）</w:t>
            </w: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-0.0</w:t>
            </w:r>
            <w:r>
              <w:rPr>
                <w:rFonts w:ascii="宋体" w:hAnsi="宋体"/>
                <w:sz w:val="21"/>
              </w:rPr>
              <w:t>49</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-123.</w:t>
            </w:r>
            <w:r>
              <w:rPr>
                <w:rFonts w:ascii="宋体" w:hAnsi="宋体"/>
                <w:sz w:val="21"/>
              </w:rPr>
              <w:t>00</w:t>
            </w:r>
            <w:r>
              <w:rPr>
                <w:rFonts w:ascii="宋体" w:hAnsi="宋体"/>
                <w:sz w:val="21"/>
              </w:rPr>
              <w:t>%</w:t>
            </w:r>
          </w:p>
        </w:tc>
        <w:tc>
          <w:tcPr>
            <w:tcW w:w="181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-0.038</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-137.62%</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ascii="宋体" w:hAnsi="宋体" w:hint="default"/>
                <w:sz w:val="21"/>
              </w:rPr>
            </w:pPr>
            <w:r>
              <w:rPr>
                <w:rFonts w:ascii="宋体" w:hAnsi="宋体"/>
                <w:sz w:val="21"/>
              </w:rPr>
              <w:t>稀释每股收益（元</w:t>
            </w:r>
            <w:r>
              <w:rPr>
                <w:rFonts w:ascii="宋体" w:hAnsi="宋体"/>
                <w:sz w:val="21"/>
              </w:rPr>
              <w:t>/</w:t>
            </w:r>
            <w:r>
              <w:rPr>
                <w:rFonts w:ascii="宋体" w:hAnsi="宋体"/>
                <w:sz w:val="21"/>
              </w:rPr>
              <w:t>股）</w:t>
            </w: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-0.0</w:t>
            </w:r>
            <w:r>
              <w:rPr>
                <w:rFonts w:ascii="宋体" w:hAnsi="宋体"/>
                <w:sz w:val="21"/>
              </w:rPr>
              <w:t>49</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-123.</w:t>
            </w:r>
            <w:r>
              <w:rPr>
                <w:rFonts w:ascii="宋体" w:hAnsi="宋体"/>
                <w:sz w:val="21"/>
              </w:rPr>
              <w:t>00</w:t>
            </w:r>
            <w:r>
              <w:rPr>
                <w:rFonts w:ascii="宋体" w:hAnsi="宋体"/>
                <w:sz w:val="21"/>
              </w:rPr>
              <w:t>%</w:t>
            </w:r>
          </w:p>
        </w:tc>
        <w:tc>
          <w:tcPr>
            <w:tcW w:w="181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-0.038</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-137.62%</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ascii="宋体" w:hAnsi="宋体" w:hint="default"/>
                <w:sz w:val="21"/>
              </w:rPr>
            </w:pPr>
            <w:r>
              <w:rPr>
                <w:rFonts w:ascii="宋体" w:hAnsi="宋体"/>
                <w:sz w:val="21"/>
              </w:rPr>
              <w:t>加权平均净资产收益率</w:t>
            </w: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-1.02%</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-5.41%</w:t>
            </w:r>
          </w:p>
        </w:tc>
        <w:tc>
          <w:tcPr>
            <w:tcW w:w="181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-0.78%</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-2.77%</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ascii="宋体" w:hAnsi="宋体" w:hint="default"/>
                <w:sz w:val="21"/>
              </w:rPr>
            </w:pP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ascii="宋体" w:hAnsi="宋体" w:hint="default"/>
                <w:sz w:val="21"/>
              </w:rPr>
            </w:pPr>
            <w:r>
              <w:rPr>
                <w:rFonts w:ascii="宋体" w:hAnsi="宋体"/>
                <w:sz w:val="21"/>
              </w:rPr>
              <w:t>本报告期末</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ascii="宋体" w:hAnsi="宋体" w:hint="default"/>
                <w:sz w:val="21"/>
              </w:rPr>
            </w:pPr>
            <w:r>
              <w:rPr>
                <w:rFonts w:ascii="宋体" w:hAnsi="宋体"/>
                <w:sz w:val="21"/>
              </w:rPr>
              <w:t>上年度末</w:t>
            </w:r>
          </w:p>
        </w:tc>
        <w:tc>
          <w:tcPr>
            <w:tcW w:w="3525" w:type="dxa"/>
            <w:gridSpan w:val="2"/>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ascii="宋体" w:hAnsi="宋体" w:hint="default"/>
                <w:sz w:val="21"/>
              </w:rPr>
            </w:pPr>
            <w:r>
              <w:rPr>
                <w:rFonts w:ascii="宋体" w:hAnsi="宋体"/>
                <w:sz w:val="21"/>
              </w:rPr>
              <w:t>本报告期末比上年度末增减</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ascii="宋体" w:hAnsi="宋体" w:hint="default"/>
                <w:sz w:val="21"/>
              </w:rPr>
            </w:pPr>
            <w:r>
              <w:rPr>
                <w:rFonts w:ascii="宋体" w:hAnsi="宋体"/>
                <w:sz w:val="21"/>
              </w:rPr>
              <w:t>总资产（元）</w:t>
            </w: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12,537,008,186.81</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9,557,286,957.60</w:t>
            </w:r>
          </w:p>
        </w:tc>
        <w:tc>
          <w:tcPr>
            <w:tcW w:w="352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31.18%</w:t>
            </w:r>
          </w:p>
        </w:tc>
      </w:tr>
      <w:tr w:rsidR="00EE5E41">
        <w:tc>
          <w:tcPr>
            <w:tcW w:w="225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ascii="宋体" w:hAnsi="宋体" w:hint="default"/>
                <w:sz w:val="21"/>
              </w:rPr>
            </w:pPr>
            <w:r>
              <w:rPr>
                <w:rFonts w:ascii="宋体" w:hAnsi="宋体"/>
                <w:sz w:val="21"/>
              </w:rPr>
              <w:t>归属于上市公司股东的所有者权益（元）</w:t>
            </w:r>
          </w:p>
        </w:tc>
        <w:tc>
          <w:tcPr>
            <w:tcW w:w="193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3,074,270,446.02</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3,216,226,808.34</w:t>
            </w:r>
          </w:p>
        </w:tc>
        <w:tc>
          <w:tcPr>
            <w:tcW w:w="352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ascii="宋体" w:hAnsi="宋体" w:hint="default"/>
                <w:sz w:val="21"/>
              </w:rPr>
            </w:pPr>
            <w:r>
              <w:rPr>
                <w:rFonts w:ascii="宋体" w:hAnsi="宋体"/>
                <w:sz w:val="21"/>
              </w:rPr>
              <w:t>-4.41%</w:t>
            </w:r>
          </w:p>
        </w:tc>
      </w:tr>
    </w:tbl>
    <w:p w:rsidR="00EE5E41" w:rsidRDefault="001F0DDA" w:rsidP="00825045">
      <w:pPr>
        <w:pStyle w:val="Section"/>
        <w:keepNext w:val="0"/>
        <w:keepLines w:val="0"/>
        <w:adjustRightInd w:val="0"/>
        <w:snapToGrid w:val="0"/>
        <w:spacing w:before="200" w:after="0" w:line="240" w:lineRule="auto"/>
        <w:outlineLvl w:val="2"/>
        <w:rPr>
          <w:rFonts w:ascii="宋体" w:hAnsi="宋体" w:hint="default"/>
          <w:b w:val="0"/>
        </w:rPr>
      </w:pPr>
      <w:r>
        <w:rPr>
          <w:rFonts w:ascii="宋体" w:hAnsi="宋体"/>
          <w:b w:val="0"/>
        </w:rPr>
        <w:t>(</w:t>
      </w:r>
      <w:r>
        <w:rPr>
          <w:rFonts w:ascii="宋体" w:hAnsi="宋体"/>
          <w:b w:val="0"/>
        </w:rPr>
        <w:t>二</w:t>
      </w:r>
      <w:r>
        <w:rPr>
          <w:rFonts w:ascii="宋体" w:hAnsi="宋体"/>
          <w:b w:val="0"/>
        </w:rPr>
        <w:t>)</w:t>
      </w:r>
      <w:r>
        <w:rPr>
          <w:rFonts w:ascii="宋体" w:hAnsi="宋体"/>
          <w:b w:val="0"/>
        </w:rPr>
        <w:t>非经常性损益项目和金额</w:t>
      </w:r>
    </w:p>
    <w:p w:rsidR="00EE5E41" w:rsidRDefault="001F0DDA" w:rsidP="00825045">
      <w:pPr>
        <w:adjustRightInd w:val="0"/>
        <w:snapToGrid w:val="0"/>
        <w:spacing w:before="0" w:after="0"/>
        <w:jc w:val="left"/>
        <w:rPr>
          <w:rFonts w:ascii="宋体" w:hAnsi="宋体" w:hint="default"/>
          <w:sz w:val="24"/>
        </w:rPr>
      </w:pPr>
      <w:r>
        <w:rPr>
          <w:rFonts w:hint="default"/>
          <w:sz w:val="24"/>
          <w:szCs w:val="22"/>
        </w:rPr>
        <w:t>√</w:t>
      </w:r>
      <w:r>
        <w:rPr>
          <w:rFonts w:ascii="宋体" w:hAnsi="宋体"/>
          <w:sz w:val="24"/>
        </w:rPr>
        <w:t xml:space="preserve"> </w:t>
      </w:r>
      <w:r>
        <w:rPr>
          <w:rFonts w:ascii="宋体" w:hAnsi="宋体"/>
          <w:sz w:val="24"/>
        </w:rPr>
        <w:t>适用</w:t>
      </w:r>
      <w:r>
        <w:rPr>
          <w:rFonts w:ascii="宋体" w:hAnsi="宋体"/>
          <w:sz w:val="24"/>
        </w:rPr>
        <w:t xml:space="preserve"> </w:t>
      </w:r>
      <w:r>
        <w:rPr>
          <w:rFonts w:ascii="宋体" w:hAnsi="宋体"/>
          <w:sz w:val="24"/>
        </w:rPr>
        <w:t>□</w:t>
      </w:r>
      <w:r>
        <w:rPr>
          <w:rFonts w:ascii="宋体" w:hAnsi="宋体"/>
          <w:sz w:val="24"/>
        </w:rPr>
        <w:t xml:space="preserve"> </w:t>
      </w:r>
      <w:r>
        <w:rPr>
          <w:rFonts w:ascii="宋体" w:hAnsi="宋体"/>
          <w:sz w:val="24"/>
        </w:rPr>
        <w:t>不适用</w:t>
      </w:r>
      <w:r>
        <w:rPr>
          <w:rFonts w:ascii="宋体" w:hAnsi="宋体"/>
          <w:sz w:val="24"/>
        </w:rPr>
        <w:t xml:space="preserve"> </w:t>
      </w:r>
    </w:p>
    <w:p w:rsidR="00EE5E41" w:rsidRDefault="001F0DDA" w:rsidP="00825045">
      <w:pPr>
        <w:jc w:val="right"/>
        <w:rPr>
          <w:rFonts w:hint="default"/>
        </w:rPr>
      </w:pPr>
      <w:r>
        <w:t>单位：元</w:t>
      </w:r>
    </w:p>
    <w:tbl>
      <w:tblPr>
        <w:tblW w:w="9569" w:type="dxa"/>
        <w:tblInd w:w="108" w:type="dxa"/>
        <w:tblLayout w:type="fixed"/>
        <w:tblLook w:val="04A0"/>
      </w:tblPr>
      <w:tblGrid>
        <w:gridCol w:w="4010"/>
        <w:gridCol w:w="2497"/>
        <w:gridCol w:w="2340"/>
        <w:gridCol w:w="722"/>
      </w:tblGrid>
      <w:tr w:rsidR="00EE5E41">
        <w:tc>
          <w:tcPr>
            <w:tcW w:w="401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lastRenderedPageBreak/>
              <w:t>项目</w:t>
            </w:r>
          </w:p>
        </w:tc>
        <w:tc>
          <w:tcPr>
            <w:tcW w:w="2497"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本报告期金额</w:t>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年初至报告期期末金额</w:t>
            </w:r>
          </w:p>
        </w:tc>
        <w:tc>
          <w:tcPr>
            <w:tcW w:w="72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说明</w:t>
            </w:r>
          </w:p>
        </w:tc>
      </w:tr>
      <w:tr w:rsidR="00EE5E41">
        <w:tc>
          <w:tcPr>
            <w:tcW w:w="401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非流动资产处置损益（包括已计提资产减值准备的冲销部分）</w:t>
            </w:r>
          </w:p>
        </w:tc>
        <w:tc>
          <w:tcPr>
            <w:tcW w:w="249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-1,639,095.79</w:t>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-4,637,500.50</w:t>
            </w:r>
          </w:p>
        </w:tc>
        <w:tc>
          <w:tcPr>
            <w:tcW w:w="72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left"/>
              <w:rPr>
                <w:rFonts w:hint="default"/>
                <w:sz w:val="21"/>
              </w:rPr>
            </w:pPr>
          </w:p>
        </w:tc>
      </w:tr>
      <w:tr w:rsidR="00EE5E41">
        <w:tc>
          <w:tcPr>
            <w:tcW w:w="401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计入当期损益的政府补助（与公司正常经营业务密切相关，符合国家政策规定、按照一定标准定额或定量持续享受的政府补助除外）</w:t>
            </w:r>
          </w:p>
        </w:tc>
        <w:tc>
          <w:tcPr>
            <w:tcW w:w="249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13,927,019.60</w:t>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63,912,048.92</w:t>
            </w:r>
          </w:p>
        </w:tc>
        <w:tc>
          <w:tcPr>
            <w:tcW w:w="72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left"/>
              <w:rPr>
                <w:rFonts w:hint="default"/>
                <w:sz w:val="21"/>
              </w:rPr>
            </w:pPr>
          </w:p>
        </w:tc>
      </w:tr>
      <w:tr w:rsidR="00EE5E41">
        <w:tc>
          <w:tcPr>
            <w:tcW w:w="401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除上述各项之外的其他营业外收入和支出</w:t>
            </w:r>
          </w:p>
        </w:tc>
        <w:tc>
          <w:tcPr>
            <w:tcW w:w="249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2,954,900.64</w:t>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2,740,453.70</w:t>
            </w:r>
          </w:p>
        </w:tc>
        <w:tc>
          <w:tcPr>
            <w:tcW w:w="72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left"/>
              <w:rPr>
                <w:rFonts w:hint="default"/>
                <w:sz w:val="21"/>
              </w:rPr>
            </w:pPr>
          </w:p>
        </w:tc>
      </w:tr>
      <w:tr w:rsidR="00EE5E41">
        <w:tc>
          <w:tcPr>
            <w:tcW w:w="401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减：所得税影响额</w:t>
            </w:r>
          </w:p>
        </w:tc>
        <w:tc>
          <w:tcPr>
            <w:tcW w:w="249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2,799,919.60</w:t>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10,101,242.01</w:t>
            </w:r>
          </w:p>
        </w:tc>
        <w:tc>
          <w:tcPr>
            <w:tcW w:w="72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left"/>
              <w:rPr>
                <w:rFonts w:hint="default"/>
                <w:sz w:val="21"/>
              </w:rPr>
            </w:pPr>
          </w:p>
        </w:tc>
      </w:tr>
      <w:tr w:rsidR="00EE5E41">
        <w:tc>
          <w:tcPr>
            <w:tcW w:w="401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少数股东权益影响额（税后）</w:t>
            </w:r>
          </w:p>
        </w:tc>
        <w:tc>
          <w:tcPr>
            <w:tcW w:w="249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-34,964.70</w:t>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25,042.99</w:t>
            </w:r>
          </w:p>
        </w:tc>
        <w:tc>
          <w:tcPr>
            <w:tcW w:w="72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left"/>
              <w:rPr>
                <w:rFonts w:hint="default"/>
                <w:sz w:val="21"/>
              </w:rPr>
            </w:pPr>
          </w:p>
        </w:tc>
      </w:tr>
      <w:tr w:rsidR="00EE5E41">
        <w:tc>
          <w:tcPr>
            <w:tcW w:w="401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合计</w:t>
            </w:r>
          </w:p>
        </w:tc>
        <w:tc>
          <w:tcPr>
            <w:tcW w:w="249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12,477,869.55</w:t>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51,888,717.12</w:t>
            </w:r>
          </w:p>
        </w:tc>
        <w:tc>
          <w:tcPr>
            <w:tcW w:w="72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w:t>
            </w:r>
          </w:p>
        </w:tc>
      </w:tr>
    </w:tbl>
    <w:p w:rsidR="00EE5E41" w:rsidRDefault="001F0DDA" w:rsidP="00825045">
      <w:pPr>
        <w:adjustRightInd w:val="0"/>
        <w:snapToGrid w:val="0"/>
        <w:spacing w:before="100" w:after="0"/>
        <w:jc w:val="left"/>
        <w:rPr>
          <w:rFonts w:ascii="宋体" w:hAnsi="宋体" w:hint="default"/>
          <w:sz w:val="24"/>
        </w:rPr>
      </w:pPr>
      <w:r>
        <w:rPr>
          <w:rFonts w:ascii="宋体" w:hAnsi="宋体"/>
          <w:sz w:val="24"/>
        </w:rPr>
        <w:t>其他符合非经常性损益定义的损益项目的具体情况：</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w:t>
      </w:r>
      <w:r>
        <w:rPr>
          <w:rFonts w:ascii="宋体" w:hAnsi="宋体"/>
          <w:sz w:val="24"/>
        </w:rPr>
        <w:t xml:space="preserve"> </w:t>
      </w:r>
      <w:r>
        <w:rPr>
          <w:rFonts w:ascii="宋体" w:hAnsi="宋体"/>
          <w:sz w:val="24"/>
        </w:rPr>
        <w:t>适用</w:t>
      </w:r>
      <w:r>
        <w:rPr>
          <w:rFonts w:ascii="宋体" w:hAnsi="宋体"/>
          <w:sz w:val="24"/>
        </w:rPr>
        <w:t xml:space="preserve"> </w:t>
      </w:r>
      <w:r>
        <w:rPr>
          <w:rFonts w:hint="default"/>
          <w:sz w:val="24"/>
          <w:szCs w:val="22"/>
        </w:rPr>
        <w:t>√</w:t>
      </w:r>
      <w:r>
        <w:rPr>
          <w:rFonts w:ascii="宋体" w:hAnsi="宋体"/>
          <w:sz w:val="24"/>
        </w:rPr>
        <w:t xml:space="preserve"> </w:t>
      </w:r>
      <w:r>
        <w:rPr>
          <w:rFonts w:ascii="宋体" w:hAnsi="宋体"/>
          <w:sz w:val="24"/>
        </w:rPr>
        <w:t>不适用</w:t>
      </w:r>
      <w:r>
        <w:rPr>
          <w:rFonts w:ascii="宋体" w:hAnsi="宋体"/>
          <w:sz w:val="24"/>
        </w:rPr>
        <w:t xml:space="preserve"> </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公司不存在其他符合非经常性损益定义的损益项目的具体情况。</w:t>
      </w:r>
    </w:p>
    <w:p w:rsidR="00EE5E41" w:rsidRDefault="001F0DDA" w:rsidP="00825045">
      <w:pPr>
        <w:adjustRightInd w:val="0"/>
        <w:snapToGrid w:val="0"/>
        <w:spacing w:before="200" w:after="0"/>
        <w:jc w:val="left"/>
        <w:rPr>
          <w:rFonts w:ascii="宋体" w:hAnsi="宋体" w:hint="default"/>
          <w:sz w:val="24"/>
        </w:rPr>
      </w:pPr>
      <w:r>
        <w:rPr>
          <w:rFonts w:ascii="宋体" w:hAnsi="宋体"/>
          <w:sz w:val="24"/>
        </w:rPr>
        <w:t>将《公开发行证券的公司信息披露解释性公告第</w:t>
      </w:r>
      <w:r>
        <w:rPr>
          <w:rFonts w:ascii="宋体" w:hAnsi="宋体"/>
          <w:sz w:val="24"/>
        </w:rPr>
        <w:t>1</w:t>
      </w:r>
      <w:r>
        <w:rPr>
          <w:rFonts w:ascii="宋体" w:hAnsi="宋体"/>
          <w:sz w:val="24"/>
        </w:rPr>
        <w:t>号——非经常性损益》中列举的非经常性损益项目界定为经常性损益项目的情况说明</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w:t>
      </w:r>
      <w:r>
        <w:rPr>
          <w:rFonts w:ascii="宋体" w:hAnsi="宋体"/>
          <w:sz w:val="24"/>
        </w:rPr>
        <w:t xml:space="preserve"> </w:t>
      </w:r>
      <w:r>
        <w:rPr>
          <w:rFonts w:ascii="宋体" w:hAnsi="宋体"/>
          <w:sz w:val="24"/>
        </w:rPr>
        <w:t>适用</w:t>
      </w:r>
      <w:r>
        <w:rPr>
          <w:rFonts w:ascii="宋体" w:hAnsi="宋体"/>
          <w:sz w:val="24"/>
        </w:rPr>
        <w:t xml:space="preserve"> </w:t>
      </w:r>
      <w:r>
        <w:rPr>
          <w:rFonts w:hint="default"/>
          <w:sz w:val="24"/>
          <w:szCs w:val="22"/>
        </w:rPr>
        <w:t>√</w:t>
      </w:r>
      <w:r>
        <w:rPr>
          <w:rFonts w:ascii="宋体" w:hAnsi="宋体"/>
          <w:sz w:val="24"/>
        </w:rPr>
        <w:t xml:space="preserve"> </w:t>
      </w:r>
      <w:r>
        <w:rPr>
          <w:rFonts w:ascii="宋体" w:hAnsi="宋体"/>
          <w:sz w:val="24"/>
        </w:rPr>
        <w:t>不适用</w:t>
      </w:r>
      <w:r>
        <w:rPr>
          <w:rFonts w:ascii="宋体" w:hAnsi="宋体"/>
          <w:sz w:val="24"/>
        </w:rPr>
        <w:t xml:space="preserve"> </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公司不存在将《公开发行证券的公司信息披露解释性公告第</w:t>
      </w:r>
      <w:r>
        <w:rPr>
          <w:rFonts w:ascii="宋体" w:hAnsi="宋体"/>
          <w:sz w:val="24"/>
        </w:rPr>
        <w:t>1</w:t>
      </w:r>
      <w:r>
        <w:rPr>
          <w:rFonts w:ascii="宋体" w:hAnsi="宋体"/>
          <w:sz w:val="24"/>
        </w:rPr>
        <w:t>号——非经常性损益》中列举的非经常性损益项目界定为经常性损益的项目的情形。</w:t>
      </w:r>
    </w:p>
    <w:p w:rsidR="00EE5E41" w:rsidRDefault="001F0DDA" w:rsidP="00825045">
      <w:pPr>
        <w:pStyle w:val="Section"/>
        <w:keepNext w:val="0"/>
        <w:keepLines w:val="0"/>
        <w:adjustRightInd w:val="0"/>
        <w:snapToGrid w:val="0"/>
        <w:spacing w:before="200" w:after="0" w:line="240" w:lineRule="auto"/>
        <w:outlineLvl w:val="2"/>
        <w:rPr>
          <w:rFonts w:ascii="宋体" w:hAnsi="宋体" w:hint="default"/>
          <w:b w:val="0"/>
          <w:sz w:val="24"/>
        </w:rPr>
      </w:pPr>
      <w:r>
        <w:rPr>
          <w:rFonts w:ascii="宋体" w:hAnsi="宋体"/>
          <w:b w:val="0"/>
          <w:sz w:val="24"/>
        </w:rPr>
        <w:t>(</w:t>
      </w:r>
      <w:r>
        <w:rPr>
          <w:rFonts w:ascii="宋体" w:hAnsi="宋体"/>
          <w:b w:val="0"/>
          <w:sz w:val="24"/>
        </w:rPr>
        <w:t>三</w:t>
      </w:r>
      <w:r>
        <w:rPr>
          <w:rFonts w:ascii="宋体" w:hAnsi="宋体"/>
          <w:b w:val="0"/>
          <w:sz w:val="24"/>
        </w:rPr>
        <w:t>)</w:t>
      </w:r>
      <w:r>
        <w:rPr>
          <w:rFonts w:ascii="宋体" w:hAnsi="宋体"/>
          <w:b w:val="0"/>
          <w:sz w:val="24"/>
        </w:rPr>
        <w:t>主要会计数据和财务指标发生变动的情况及原因</w:t>
      </w:r>
    </w:p>
    <w:p w:rsidR="00EE5E41" w:rsidRDefault="001F0DDA" w:rsidP="00825045">
      <w:pPr>
        <w:adjustRightInd w:val="0"/>
        <w:snapToGrid w:val="0"/>
        <w:spacing w:before="0" w:after="0"/>
        <w:jc w:val="left"/>
        <w:rPr>
          <w:rFonts w:ascii="宋体" w:hAnsi="宋体" w:hint="default"/>
          <w:sz w:val="24"/>
        </w:rPr>
      </w:pPr>
      <w:r>
        <w:rPr>
          <w:rFonts w:hint="default"/>
          <w:sz w:val="24"/>
          <w:szCs w:val="22"/>
        </w:rPr>
        <w:t>√</w:t>
      </w:r>
      <w:r>
        <w:rPr>
          <w:rFonts w:ascii="宋体" w:hAnsi="宋体"/>
          <w:sz w:val="24"/>
        </w:rPr>
        <w:t xml:space="preserve"> </w:t>
      </w:r>
      <w:r>
        <w:rPr>
          <w:rFonts w:ascii="宋体" w:hAnsi="宋体"/>
          <w:sz w:val="24"/>
        </w:rPr>
        <w:t>适用</w:t>
      </w:r>
      <w:r>
        <w:rPr>
          <w:rFonts w:ascii="宋体" w:hAnsi="宋体"/>
          <w:sz w:val="24"/>
        </w:rPr>
        <w:t xml:space="preserve"> </w:t>
      </w:r>
      <w:r>
        <w:rPr>
          <w:rFonts w:ascii="宋体" w:hAnsi="宋体"/>
          <w:sz w:val="24"/>
        </w:rPr>
        <w:t>□</w:t>
      </w:r>
      <w:r>
        <w:rPr>
          <w:rFonts w:ascii="宋体" w:hAnsi="宋体"/>
          <w:sz w:val="24"/>
        </w:rPr>
        <w:t xml:space="preserve"> </w:t>
      </w:r>
      <w:r>
        <w:rPr>
          <w:rFonts w:ascii="宋体" w:hAnsi="宋体"/>
          <w:sz w:val="24"/>
        </w:rPr>
        <w:t>不适用</w:t>
      </w:r>
      <w:r>
        <w:rPr>
          <w:rFonts w:ascii="宋体" w:hAnsi="宋体"/>
          <w:sz w:val="24"/>
        </w:rPr>
        <w:t xml:space="preserve"> </w:t>
      </w:r>
    </w:p>
    <w:p w:rsidR="00EE5E41" w:rsidRDefault="001F0DDA" w:rsidP="00825045">
      <w:pPr>
        <w:adjustRightInd w:val="0"/>
        <w:snapToGrid w:val="0"/>
        <w:spacing w:before="0" w:after="0"/>
        <w:jc w:val="left"/>
        <w:rPr>
          <w:rFonts w:ascii="宋体" w:hAnsi="宋体" w:hint="default"/>
          <w:sz w:val="24"/>
          <w:lang w:val="zh-CN"/>
        </w:rPr>
      </w:pPr>
      <w:r>
        <w:rPr>
          <w:rFonts w:ascii="宋体" w:hAnsi="宋体"/>
          <w:sz w:val="24"/>
          <w:lang w:val="zh-CN"/>
        </w:rPr>
        <w:t>1</w:t>
      </w:r>
      <w:r>
        <w:rPr>
          <w:rFonts w:ascii="宋体" w:hAnsi="宋体"/>
          <w:sz w:val="24"/>
          <w:lang w:val="zh-CN"/>
        </w:rPr>
        <w:t>、归属于上市公司股东净利润较上年同期下降</w:t>
      </w:r>
      <w:r>
        <w:rPr>
          <w:rFonts w:ascii="宋体" w:hAnsi="宋体"/>
          <w:sz w:val="24"/>
          <w:lang w:val="zh-CN"/>
        </w:rPr>
        <w:t>136.77%</w:t>
      </w:r>
      <w:r>
        <w:rPr>
          <w:rFonts w:ascii="宋体" w:hAnsi="宋体"/>
          <w:sz w:val="24"/>
          <w:lang w:val="zh-CN"/>
        </w:rPr>
        <w:t>，主要是原因是</w:t>
      </w:r>
      <w:r>
        <w:rPr>
          <w:rFonts w:ascii="宋体" w:hAnsi="宋体"/>
          <w:sz w:val="24"/>
          <w:lang w:val="zh-CN"/>
        </w:rPr>
        <w:t>2021</w:t>
      </w:r>
      <w:r>
        <w:rPr>
          <w:rFonts w:ascii="宋体" w:hAnsi="宋体"/>
          <w:sz w:val="24"/>
          <w:lang w:val="zh-CN"/>
        </w:rPr>
        <w:t>年受行业环境、新租赁准则及疫情反复等多方面影响，导致公司前三季度亏损，而去年上半年公司虽然处于亏损状态，但第三季度收到政府各项疫情政策补贴实现盈利。</w:t>
      </w:r>
    </w:p>
    <w:p w:rsidR="00EE5E41" w:rsidRDefault="001F0DDA" w:rsidP="00825045">
      <w:pPr>
        <w:adjustRightInd w:val="0"/>
        <w:snapToGrid w:val="0"/>
        <w:spacing w:before="0" w:after="0"/>
        <w:jc w:val="left"/>
        <w:rPr>
          <w:rFonts w:ascii="宋体" w:hAnsi="宋体" w:hint="default"/>
          <w:sz w:val="24"/>
          <w:lang w:val="zh-CN"/>
        </w:rPr>
      </w:pPr>
      <w:r>
        <w:rPr>
          <w:rFonts w:ascii="宋体" w:hAnsi="宋体"/>
          <w:sz w:val="24"/>
          <w:lang w:val="zh-CN"/>
        </w:rPr>
        <w:t>2</w:t>
      </w:r>
      <w:r>
        <w:rPr>
          <w:rFonts w:ascii="宋体" w:hAnsi="宋体"/>
          <w:sz w:val="24"/>
          <w:lang w:val="zh-CN"/>
        </w:rPr>
        <w:t>、基本每股收益较上年同期下降</w:t>
      </w:r>
      <w:r>
        <w:rPr>
          <w:rFonts w:ascii="宋体" w:hAnsi="宋体"/>
          <w:sz w:val="24"/>
          <w:lang w:val="zh-CN"/>
        </w:rPr>
        <w:t>137.62%</w:t>
      </w:r>
      <w:r>
        <w:rPr>
          <w:rFonts w:ascii="宋体" w:hAnsi="宋体"/>
          <w:sz w:val="24"/>
          <w:lang w:val="zh-CN"/>
        </w:rPr>
        <w:t>，主要原因是本期归属于上市公司股东净利润较上年同期减少。</w:t>
      </w:r>
    </w:p>
    <w:p w:rsidR="00EE5E41" w:rsidRDefault="001F0DDA" w:rsidP="00825045">
      <w:pPr>
        <w:adjustRightInd w:val="0"/>
        <w:snapToGrid w:val="0"/>
        <w:spacing w:before="0" w:after="0"/>
        <w:jc w:val="left"/>
        <w:rPr>
          <w:rFonts w:ascii="宋体" w:hAnsi="宋体" w:hint="default"/>
          <w:sz w:val="24"/>
          <w:lang w:val="zh-CN"/>
        </w:rPr>
      </w:pPr>
      <w:r>
        <w:rPr>
          <w:rFonts w:ascii="宋体" w:hAnsi="宋体"/>
          <w:sz w:val="24"/>
          <w:lang w:val="zh-CN"/>
        </w:rPr>
        <w:t>3</w:t>
      </w:r>
      <w:r>
        <w:rPr>
          <w:rFonts w:ascii="宋体" w:hAnsi="宋体"/>
          <w:sz w:val="24"/>
          <w:lang w:val="zh-CN"/>
        </w:rPr>
        <w:t>、总资产较上年末增加</w:t>
      </w:r>
      <w:r>
        <w:rPr>
          <w:rFonts w:ascii="宋体" w:hAnsi="宋体"/>
          <w:sz w:val="24"/>
          <w:lang w:val="zh-CN"/>
        </w:rPr>
        <w:t>31.18%</w:t>
      </w:r>
      <w:r>
        <w:rPr>
          <w:rFonts w:ascii="宋体" w:hAnsi="宋体"/>
          <w:sz w:val="24"/>
          <w:lang w:val="zh-CN"/>
        </w:rPr>
        <w:t>，主要是今年执行新租赁准则，增加使用权资产</w:t>
      </w:r>
      <w:r>
        <w:rPr>
          <w:rFonts w:ascii="宋体" w:hAnsi="宋体"/>
          <w:sz w:val="24"/>
          <w:lang w:val="zh-CN"/>
        </w:rPr>
        <w:t>26.57</w:t>
      </w:r>
      <w:r>
        <w:rPr>
          <w:rFonts w:ascii="宋体" w:hAnsi="宋体"/>
          <w:sz w:val="24"/>
          <w:lang w:val="zh-CN"/>
        </w:rPr>
        <w:t>亿元。</w:t>
      </w:r>
    </w:p>
    <w:p w:rsidR="00EE5E41" w:rsidRDefault="001F0DDA" w:rsidP="00825045">
      <w:pPr>
        <w:pStyle w:val="Chapter"/>
        <w:keepNext w:val="0"/>
        <w:keepLines w:val="0"/>
        <w:adjustRightInd w:val="0"/>
        <w:snapToGrid w:val="0"/>
        <w:spacing w:after="0" w:line="240" w:lineRule="auto"/>
        <w:outlineLvl w:val="1"/>
        <w:rPr>
          <w:rFonts w:ascii="宋体" w:hAnsi="宋体" w:hint="default"/>
          <w:b w:val="0"/>
        </w:rPr>
      </w:pPr>
      <w:r>
        <w:rPr>
          <w:rFonts w:ascii="宋体" w:hAnsi="宋体"/>
          <w:b w:val="0"/>
        </w:rPr>
        <w:t>二、股东信息</w:t>
      </w:r>
    </w:p>
    <w:p w:rsidR="00EE5E41" w:rsidRDefault="001F0DDA" w:rsidP="00825045">
      <w:pPr>
        <w:pStyle w:val="Section"/>
        <w:keepNext w:val="0"/>
        <w:keepLines w:val="0"/>
        <w:adjustRightInd w:val="0"/>
        <w:snapToGrid w:val="0"/>
        <w:spacing w:before="0" w:after="0" w:line="240" w:lineRule="auto"/>
        <w:outlineLvl w:val="2"/>
        <w:rPr>
          <w:rFonts w:ascii="宋体" w:hAnsi="宋体" w:hint="default"/>
          <w:b w:val="0"/>
          <w:sz w:val="24"/>
        </w:rPr>
      </w:pPr>
      <w:r>
        <w:rPr>
          <w:rFonts w:ascii="宋体" w:hAnsi="宋体"/>
          <w:b w:val="0"/>
          <w:sz w:val="24"/>
        </w:rPr>
        <w:t>(</w:t>
      </w:r>
      <w:r>
        <w:rPr>
          <w:rFonts w:ascii="宋体" w:hAnsi="宋体"/>
          <w:b w:val="0"/>
          <w:sz w:val="24"/>
        </w:rPr>
        <w:t>一</w:t>
      </w:r>
      <w:r>
        <w:rPr>
          <w:rFonts w:ascii="宋体" w:hAnsi="宋体"/>
          <w:b w:val="0"/>
          <w:sz w:val="24"/>
        </w:rPr>
        <w:t>)</w:t>
      </w:r>
      <w:r>
        <w:rPr>
          <w:rFonts w:ascii="宋体" w:hAnsi="宋体"/>
          <w:b w:val="0"/>
          <w:sz w:val="24"/>
        </w:rPr>
        <w:t>普通股股东总数和表决权恢复的优先股股东数量及前十名股东持股情况表</w:t>
      </w:r>
    </w:p>
    <w:p w:rsidR="00EE5E41" w:rsidRDefault="001F0DDA" w:rsidP="00825045">
      <w:pPr>
        <w:jc w:val="right"/>
        <w:rPr>
          <w:rFonts w:hint="default"/>
        </w:rPr>
      </w:pPr>
      <w:r>
        <w:t>单位：股</w:t>
      </w:r>
    </w:p>
    <w:tbl>
      <w:tblPr>
        <w:tblW w:w="9570" w:type="dxa"/>
        <w:tblInd w:w="108" w:type="dxa"/>
        <w:tblLayout w:type="fixed"/>
        <w:tblCellMar>
          <w:left w:w="17" w:type="dxa"/>
          <w:right w:w="17" w:type="dxa"/>
        </w:tblCellMar>
        <w:tblLook w:val="04A0"/>
      </w:tblPr>
      <w:tblGrid>
        <w:gridCol w:w="2524"/>
        <w:gridCol w:w="255"/>
        <w:gridCol w:w="1500"/>
        <w:gridCol w:w="15"/>
        <w:gridCol w:w="690"/>
        <w:gridCol w:w="1095"/>
        <w:gridCol w:w="885"/>
        <w:gridCol w:w="450"/>
        <w:gridCol w:w="960"/>
        <w:gridCol w:w="210"/>
        <w:gridCol w:w="986"/>
      </w:tblGrid>
      <w:tr w:rsidR="00EE5E41">
        <w:tc>
          <w:tcPr>
            <w:tcW w:w="2524"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报告期末普通股股东总数</w:t>
            </w:r>
          </w:p>
        </w:tc>
        <w:tc>
          <w:tcPr>
            <w:tcW w:w="2460" w:type="dxa"/>
            <w:gridSpan w:val="4"/>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21,270</w:t>
            </w:r>
          </w:p>
        </w:tc>
        <w:tc>
          <w:tcPr>
            <w:tcW w:w="2430" w:type="dxa"/>
            <w:gridSpan w:val="3"/>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报告期末表决权恢复的优先股股东总数（如有）</w:t>
            </w:r>
          </w:p>
        </w:tc>
        <w:tc>
          <w:tcPr>
            <w:tcW w:w="2156"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0</w:t>
            </w:r>
          </w:p>
        </w:tc>
      </w:tr>
      <w:tr w:rsidR="00EE5E41">
        <w:tc>
          <w:tcPr>
            <w:tcW w:w="9570" w:type="dxa"/>
            <w:gridSpan w:val="11"/>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前</w:t>
            </w:r>
            <w:r>
              <w:rPr>
                <w:sz w:val="21"/>
              </w:rPr>
              <w:t>10</w:t>
            </w:r>
            <w:r>
              <w:rPr>
                <w:sz w:val="21"/>
              </w:rPr>
              <w:t>名股东持股情况</w:t>
            </w: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股东名称</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股东性质</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持股比例</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持股数量</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持有有限售条件的股份数量</w:t>
            </w:r>
          </w:p>
        </w:tc>
        <w:tc>
          <w:tcPr>
            <w:tcW w:w="2156" w:type="dxa"/>
            <w:gridSpan w:val="3"/>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质押、标记或冻结情况</w:t>
            </w:r>
          </w:p>
        </w:tc>
      </w:tr>
      <w:tr w:rsidR="00EE5E41">
        <w:tc>
          <w:tcPr>
            <w:tcW w:w="2779"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center"/>
              <w:rPr>
                <w:rFonts w:hint="default"/>
                <w:sz w:val="21"/>
              </w:rPr>
            </w:pPr>
          </w:p>
        </w:tc>
        <w:tc>
          <w:tcPr>
            <w:tcW w:w="1515"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center"/>
              <w:rPr>
                <w:rFonts w:hint="default"/>
                <w:sz w:val="21"/>
              </w:rPr>
            </w:pPr>
          </w:p>
        </w:tc>
        <w:tc>
          <w:tcPr>
            <w:tcW w:w="69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center"/>
              <w:rPr>
                <w:rFonts w:hint="default"/>
                <w:sz w:val="21"/>
              </w:rPr>
            </w:pPr>
          </w:p>
        </w:tc>
        <w:tc>
          <w:tcPr>
            <w:tcW w:w="109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center"/>
              <w:rPr>
                <w:rFonts w:hint="default"/>
                <w:sz w:val="21"/>
              </w:rPr>
            </w:pPr>
          </w:p>
        </w:tc>
        <w:tc>
          <w:tcPr>
            <w:tcW w:w="1335"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center"/>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股份状态</w:t>
            </w: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数量</w:t>
            </w: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武汉商联（集团）股份有限公司</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国有法人</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20.07%</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136,684,090</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64,741</w:t>
            </w: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重庆永辉超市有限公司</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境内非国有法人</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15.02%</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102,284,543</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武汉华汉投资管理有限公司</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国有法人</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13.93%</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94,853,195</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永辉物流有限公司</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境内非国有法人</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9.84%</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67,016,493</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lastRenderedPageBreak/>
              <w:t>新光控股集团有限公司</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境内非国有法人</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5.95%</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40,528,928</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冻结</w:t>
            </w: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40,528,928</w:t>
            </w: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永辉超市股份有限公司</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境内非国有法人</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5.00%</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34,051,090</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长江证券－工商银行－长江证券超越理财宝</w:t>
            </w:r>
            <w:r>
              <w:rPr>
                <w:sz w:val="21"/>
              </w:rPr>
              <w:t>6</w:t>
            </w:r>
            <w:r>
              <w:rPr>
                <w:sz w:val="21"/>
              </w:rPr>
              <w:t>号集合资产管理计划</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其他</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1.53%</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10,396,700</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必拓电子商务有限公司</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境内非国有法人</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0.97%</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6,578,755</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779"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武汉城市建设集团有限公司</w:t>
            </w:r>
          </w:p>
        </w:tc>
        <w:tc>
          <w:tcPr>
            <w:tcW w:w="151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国有法人</w:t>
            </w:r>
          </w:p>
        </w:tc>
        <w:tc>
          <w:tcPr>
            <w:tcW w:w="6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0.92%</w:t>
            </w:r>
          </w:p>
        </w:tc>
        <w:tc>
          <w:tcPr>
            <w:tcW w:w="10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6,296,831</w:t>
            </w:r>
          </w:p>
        </w:tc>
        <w:tc>
          <w:tcPr>
            <w:tcW w:w="133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77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李桃</w:t>
            </w:r>
          </w:p>
        </w:tc>
        <w:tc>
          <w:tcPr>
            <w:tcW w:w="15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境内自然人</w:t>
            </w:r>
          </w:p>
        </w:tc>
        <w:tc>
          <w:tcPr>
            <w:tcW w:w="6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0.67%</w:t>
            </w:r>
          </w:p>
        </w:tc>
        <w:tc>
          <w:tcPr>
            <w:tcW w:w="10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4,580,716</w:t>
            </w:r>
          </w:p>
        </w:tc>
        <w:tc>
          <w:tcPr>
            <w:tcW w:w="133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117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98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9570" w:type="dxa"/>
            <w:gridSpan w:val="11"/>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前</w:t>
            </w:r>
            <w:r>
              <w:rPr>
                <w:sz w:val="21"/>
              </w:rPr>
              <w:t>10</w:t>
            </w:r>
            <w:r>
              <w:rPr>
                <w:sz w:val="21"/>
              </w:rPr>
              <w:t>名无限售条件股东持股情况</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股东名称</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持有无限售条件股份数量</w:t>
            </w:r>
          </w:p>
        </w:tc>
        <w:tc>
          <w:tcPr>
            <w:tcW w:w="2606" w:type="dxa"/>
            <w:gridSpan w:val="4"/>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股份种类</w:t>
            </w:r>
          </w:p>
        </w:tc>
      </w:tr>
      <w:tr w:rsidR="00EE5E41">
        <w:tc>
          <w:tcPr>
            <w:tcW w:w="4279"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center"/>
              <w:rPr>
                <w:rFonts w:hint="default"/>
                <w:sz w:val="21"/>
              </w:rPr>
            </w:pPr>
          </w:p>
        </w:tc>
        <w:tc>
          <w:tcPr>
            <w:tcW w:w="2685" w:type="dxa"/>
            <w:gridSpan w:val="4"/>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center"/>
              <w:rPr>
                <w:rFonts w:hint="default"/>
                <w:sz w:val="21"/>
              </w:rPr>
            </w:pP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股份种类</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数量</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武汉商联（集团）股份有限公司</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136,619,349</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136,619,349</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重庆永辉超市有限公司</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102,284,543</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102,284,543</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武汉华汉投资管理有限公司</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94,853,195</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94,853,195</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永辉物流有限公司</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67,016,493</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67,016,493</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新光控股集团有限公司</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40,528,928</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40,528,928</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永辉超市股份有限公司</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34,051,090</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34,051,090</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长江证券－工商银行－长江证券超越理财宝</w:t>
            </w:r>
            <w:r>
              <w:rPr>
                <w:sz w:val="21"/>
              </w:rPr>
              <w:t>6</w:t>
            </w:r>
            <w:r>
              <w:rPr>
                <w:sz w:val="21"/>
              </w:rPr>
              <w:t>号集合资产管理计划</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10,396,700</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10,396,700</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必拓电子商务有限公司</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6,578,755</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6,578,755</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武汉城市建设集团有限公司</w:t>
            </w:r>
          </w:p>
        </w:tc>
        <w:tc>
          <w:tcPr>
            <w:tcW w:w="2685"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6,296,831</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6,296,831</w:t>
            </w:r>
          </w:p>
        </w:tc>
      </w:tr>
      <w:tr w:rsidR="00EE5E41">
        <w:tc>
          <w:tcPr>
            <w:tcW w:w="4279"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left"/>
              <w:rPr>
                <w:rFonts w:hint="default"/>
                <w:sz w:val="21"/>
              </w:rPr>
            </w:pPr>
            <w:r>
              <w:rPr>
                <w:sz w:val="21"/>
              </w:rPr>
              <w:t>李桃</w:t>
            </w:r>
          </w:p>
        </w:tc>
        <w:tc>
          <w:tcPr>
            <w:tcW w:w="268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4,580,716</w:t>
            </w:r>
          </w:p>
        </w:tc>
        <w:tc>
          <w:tcPr>
            <w:tcW w:w="14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人民币普通股</w:t>
            </w:r>
          </w:p>
        </w:tc>
        <w:tc>
          <w:tcPr>
            <w:tcW w:w="1196"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4,580,716</w:t>
            </w:r>
          </w:p>
        </w:tc>
      </w:tr>
      <w:tr w:rsidR="00EE5E41">
        <w:tc>
          <w:tcPr>
            <w:tcW w:w="4279" w:type="dxa"/>
            <w:gridSpan w:val="3"/>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上述股东关联关系或一致行动的说明</w:t>
            </w:r>
          </w:p>
        </w:tc>
        <w:tc>
          <w:tcPr>
            <w:tcW w:w="5291" w:type="dxa"/>
            <w:gridSpan w:val="8"/>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武汉商联</w:t>
            </w:r>
            <w:r>
              <w:rPr>
                <w:sz w:val="21"/>
              </w:rPr>
              <w:t>(</w:t>
            </w:r>
            <w:r>
              <w:rPr>
                <w:sz w:val="21"/>
              </w:rPr>
              <w:t>集团</w:t>
            </w:r>
            <w:r>
              <w:rPr>
                <w:sz w:val="21"/>
              </w:rPr>
              <w:t>)</w:t>
            </w:r>
            <w:r>
              <w:rPr>
                <w:sz w:val="21"/>
              </w:rPr>
              <w:t>股份有限公司和武汉华汉投资管理有限公司的控股股东同为武汉商贸集团有限公司。永辉超市股份有限公司及其全资子公司重庆永辉超市有限公司、永辉物流有限公司为一致行动人。公司未知其他股东间是否存在关联关系或一致行动人的情况。</w:t>
            </w:r>
          </w:p>
        </w:tc>
      </w:tr>
      <w:tr w:rsidR="00EE5E41">
        <w:tc>
          <w:tcPr>
            <w:tcW w:w="4279" w:type="dxa"/>
            <w:gridSpan w:val="3"/>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前</w:t>
            </w:r>
            <w:r>
              <w:rPr>
                <w:sz w:val="21"/>
              </w:rPr>
              <w:t>10</w:t>
            </w:r>
            <w:r>
              <w:rPr>
                <w:sz w:val="21"/>
              </w:rPr>
              <w:t>名股东参与融资融券业务情况说明（如有）</w:t>
            </w:r>
          </w:p>
        </w:tc>
        <w:tc>
          <w:tcPr>
            <w:tcW w:w="5291" w:type="dxa"/>
            <w:gridSpan w:val="8"/>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无</w:t>
            </w:r>
          </w:p>
        </w:tc>
      </w:tr>
      <w:tr w:rsidR="00EE5E41">
        <w:tc>
          <w:tcPr>
            <w:tcW w:w="4279" w:type="dxa"/>
            <w:gridSpan w:val="3"/>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前</w:t>
            </w:r>
            <w:r>
              <w:rPr>
                <w:sz w:val="21"/>
              </w:rPr>
              <w:t>10</w:t>
            </w:r>
            <w:r>
              <w:rPr>
                <w:sz w:val="21"/>
              </w:rPr>
              <w:t>名股东中存在回购专户的特别说明（如有）</w:t>
            </w:r>
          </w:p>
        </w:tc>
        <w:tc>
          <w:tcPr>
            <w:tcW w:w="5291" w:type="dxa"/>
            <w:gridSpan w:val="8"/>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left"/>
              <w:rPr>
                <w:rFonts w:hint="default"/>
                <w:sz w:val="21"/>
              </w:rPr>
            </w:pPr>
            <w:r>
              <w:rPr>
                <w:sz w:val="21"/>
              </w:rPr>
              <w:t>中百控股集团股份有限公司回购专用证券账户报告期末持股数量为</w:t>
            </w:r>
            <w:r>
              <w:rPr>
                <w:sz w:val="21"/>
              </w:rPr>
              <w:t>24,992,014</w:t>
            </w:r>
            <w:r>
              <w:rPr>
                <w:sz w:val="21"/>
              </w:rPr>
              <w:t>股，约占公司目前总股本的</w:t>
            </w:r>
            <w:r>
              <w:rPr>
                <w:sz w:val="21"/>
              </w:rPr>
              <w:t>3.67%</w:t>
            </w:r>
            <w:r>
              <w:rPr>
                <w:sz w:val="21"/>
              </w:rPr>
              <w:t>。</w:t>
            </w:r>
          </w:p>
        </w:tc>
      </w:tr>
    </w:tbl>
    <w:p w:rsidR="00EE5E41" w:rsidRDefault="001F0DDA" w:rsidP="00825045">
      <w:pPr>
        <w:pStyle w:val="Section"/>
        <w:keepNext w:val="0"/>
        <w:keepLines w:val="0"/>
        <w:adjustRightInd w:val="0"/>
        <w:snapToGrid w:val="0"/>
        <w:spacing w:before="200" w:after="0" w:line="240" w:lineRule="auto"/>
        <w:outlineLvl w:val="2"/>
        <w:rPr>
          <w:rFonts w:ascii="宋体" w:hAnsi="宋体" w:hint="default"/>
          <w:b w:val="0"/>
          <w:sz w:val="24"/>
        </w:rPr>
      </w:pPr>
      <w:r>
        <w:rPr>
          <w:rFonts w:ascii="宋体" w:hAnsi="宋体"/>
          <w:b w:val="0"/>
          <w:sz w:val="24"/>
        </w:rPr>
        <w:t>(</w:t>
      </w:r>
      <w:r>
        <w:rPr>
          <w:rFonts w:ascii="宋体" w:hAnsi="宋体"/>
          <w:b w:val="0"/>
          <w:sz w:val="24"/>
        </w:rPr>
        <w:t>二</w:t>
      </w:r>
      <w:r>
        <w:rPr>
          <w:rFonts w:ascii="宋体" w:hAnsi="宋体"/>
          <w:b w:val="0"/>
          <w:sz w:val="24"/>
        </w:rPr>
        <w:t>)</w:t>
      </w:r>
      <w:r>
        <w:rPr>
          <w:rFonts w:ascii="宋体" w:hAnsi="宋体"/>
          <w:b w:val="0"/>
          <w:sz w:val="24"/>
        </w:rPr>
        <w:t>公司优先股股东总数及前</w:t>
      </w:r>
      <w:r>
        <w:rPr>
          <w:rFonts w:ascii="宋体" w:hAnsi="宋体"/>
          <w:b w:val="0"/>
          <w:sz w:val="24"/>
        </w:rPr>
        <w:t>10</w:t>
      </w:r>
      <w:r>
        <w:rPr>
          <w:rFonts w:ascii="宋体" w:hAnsi="宋体"/>
          <w:b w:val="0"/>
          <w:sz w:val="24"/>
        </w:rPr>
        <w:t>名优先股股东持股情况表</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w:t>
      </w:r>
      <w:r>
        <w:rPr>
          <w:rFonts w:ascii="宋体" w:hAnsi="宋体"/>
          <w:sz w:val="24"/>
        </w:rPr>
        <w:t xml:space="preserve"> </w:t>
      </w:r>
      <w:r>
        <w:rPr>
          <w:rFonts w:ascii="宋体" w:hAnsi="宋体"/>
          <w:sz w:val="24"/>
        </w:rPr>
        <w:t>适用</w:t>
      </w:r>
      <w:r>
        <w:rPr>
          <w:rFonts w:ascii="宋体" w:hAnsi="宋体"/>
          <w:sz w:val="24"/>
        </w:rPr>
        <w:t xml:space="preserve"> </w:t>
      </w:r>
      <w:r>
        <w:rPr>
          <w:rFonts w:hint="default"/>
          <w:sz w:val="24"/>
          <w:szCs w:val="22"/>
        </w:rPr>
        <w:t>√</w:t>
      </w:r>
      <w:r>
        <w:rPr>
          <w:rFonts w:ascii="宋体" w:hAnsi="宋体"/>
          <w:sz w:val="24"/>
        </w:rPr>
        <w:t xml:space="preserve"> </w:t>
      </w:r>
      <w:r>
        <w:rPr>
          <w:rFonts w:ascii="宋体" w:hAnsi="宋体"/>
          <w:sz w:val="24"/>
        </w:rPr>
        <w:t>不适用</w:t>
      </w:r>
      <w:r>
        <w:rPr>
          <w:rFonts w:ascii="宋体" w:hAnsi="宋体"/>
          <w:sz w:val="24"/>
        </w:rPr>
        <w:t xml:space="preserve"> </w:t>
      </w:r>
    </w:p>
    <w:p w:rsidR="00EE5E41" w:rsidRDefault="001F0DDA" w:rsidP="00825045">
      <w:pPr>
        <w:pStyle w:val="Chapter"/>
        <w:keepNext w:val="0"/>
        <w:keepLines w:val="0"/>
        <w:adjustRightInd w:val="0"/>
        <w:snapToGrid w:val="0"/>
        <w:spacing w:after="0" w:line="240" w:lineRule="auto"/>
        <w:outlineLvl w:val="1"/>
        <w:rPr>
          <w:rFonts w:ascii="黑体" w:eastAsia="黑体" w:hAnsi="黑体" w:hint="default"/>
          <w:b w:val="0"/>
        </w:rPr>
      </w:pPr>
      <w:r>
        <w:rPr>
          <w:rFonts w:ascii="黑体" w:eastAsia="黑体" w:hAnsi="黑体"/>
          <w:b w:val="0"/>
        </w:rPr>
        <w:t>三、其他重要事项</w:t>
      </w:r>
    </w:p>
    <w:p w:rsidR="00EE5E41" w:rsidRDefault="001F0DDA" w:rsidP="00825045">
      <w:pPr>
        <w:adjustRightInd w:val="0"/>
        <w:snapToGrid w:val="0"/>
        <w:spacing w:before="0" w:after="0" w:line="400" w:lineRule="exact"/>
        <w:jc w:val="left"/>
        <w:rPr>
          <w:rFonts w:ascii="宋体" w:hAnsi="宋体" w:hint="default"/>
          <w:sz w:val="24"/>
        </w:rPr>
      </w:pPr>
      <w:r>
        <w:rPr>
          <w:rFonts w:hint="default"/>
          <w:sz w:val="24"/>
          <w:szCs w:val="22"/>
        </w:rPr>
        <w:t>√</w:t>
      </w:r>
      <w:r>
        <w:rPr>
          <w:rFonts w:ascii="宋体" w:hAnsi="宋体"/>
          <w:sz w:val="24"/>
        </w:rPr>
        <w:t xml:space="preserve"> </w:t>
      </w:r>
      <w:r>
        <w:rPr>
          <w:rFonts w:ascii="宋体" w:hAnsi="宋体"/>
          <w:sz w:val="24"/>
        </w:rPr>
        <w:t>适用</w:t>
      </w:r>
      <w:r>
        <w:rPr>
          <w:rFonts w:ascii="宋体" w:hAnsi="宋体"/>
          <w:sz w:val="24"/>
        </w:rPr>
        <w:t xml:space="preserve"> </w:t>
      </w:r>
      <w:r>
        <w:rPr>
          <w:rFonts w:ascii="宋体" w:hAnsi="宋体"/>
          <w:sz w:val="24"/>
        </w:rPr>
        <w:t>□</w:t>
      </w:r>
      <w:r>
        <w:rPr>
          <w:rFonts w:ascii="宋体" w:hAnsi="宋体"/>
          <w:sz w:val="24"/>
        </w:rPr>
        <w:t xml:space="preserve"> </w:t>
      </w:r>
      <w:r>
        <w:rPr>
          <w:rFonts w:ascii="宋体" w:hAnsi="宋体"/>
          <w:sz w:val="24"/>
        </w:rPr>
        <w:t>不适用</w:t>
      </w:r>
      <w:r>
        <w:rPr>
          <w:rFonts w:ascii="宋体" w:hAnsi="宋体"/>
          <w:sz w:val="24"/>
        </w:rPr>
        <w:t xml:space="preserve"> </w:t>
      </w:r>
    </w:p>
    <w:p w:rsidR="00EE5E41" w:rsidRDefault="001F0DDA" w:rsidP="00825045">
      <w:pPr>
        <w:autoSpaceDE w:val="0"/>
        <w:autoSpaceDN w:val="0"/>
        <w:adjustRightInd w:val="0"/>
        <w:snapToGrid w:val="0"/>
        <w:spacing w:before="0" w:after="0" w:line="400" w:lineRule="exact"/>
        <w:ind w:firstLine="480"/>
        <w:rPr>
          <w:rFonts w:ascii="宋体" w:hAnsi="宋体" w:hint="default"/>
          <w:sz w:val="24"/>
          <w:lang w:val="zh-CN"/>
        </w:rPr>
      </w:pPr>
      <w:r>
        <w:rPr>
          <w:rFonts w:ascii="宋体" w:hAnsi="宋体"/>
          <w:sz w:val="24"/>
          <w:lang w:val="zh-CN"/>
        </w:rPr>
        <w:t>公司于</w:t>
      </w:r>
      <w:r>
        <w:rPr>
          <w:rFonts w:ascii="宋体" w:hAnsi="宋体"/>
          <w:sz w:val="24"/>
          <w:lang w:val="zh-CN"/>
        </w:rPr>
        <w:t>2021</w:t>
      </w:r>
      <w:r>
        <w:rPr>
          <w:rFonts w:ascii="宋体" w:hAnsi="宋体"/>
          <w:sz w:val="24"/>
          <w:lang w:val="zh-CN"/>
        </w:rPr>
        <w:t>年</w:t>
      </w:r>
      <w:r>
        <w:rPr>
          <w:rFonts w:ascii="宋体" w:hAnsi="宋体"/>
          <w:sz w:val="24"/>
          <w:lang w:val="zh-CN"/>
        </w:rPr>
        <w:t>7</w:t>
      </w:r>
      <w:r>
        <w:rPr>
          <w:rFonts w:ascii="宋体" w:hAnsi="宋体"/>
          <w:sz w:val="24"/>
          <w:lang w:val="zh-CN"/>
        </w:rPr>
        <w:t>月收到武汉商联（集团）股份有限公司（以下简称“武汉商联”）《关于提请审议我司变更承诺议案的函》。函称：武汉商联曾在</w:t>
      </w:r>
      <w:r>
        <w:rPr>
          <w:rFonts w:ascii="宋体" w:hAnsi="宋体"/>
          <w:sz w:val="24"/>
          <w:lang w:val="zh-CN"/>
        </w:rPr>
        <w:t>2019</w:t>
      </w:r>
      <w:r>
        <w:rPr>
          <w:rFonts w:ascii="宋体" w:hAnsi="宋体"/>
          <w:sz w:val="24"/>
          <w:lang w:val="zh-CN"/>
        </w:rPr>
        <w:t>年</w:t>
      </w:r>
      <w:r>
        <w:rPr>
          <w:rFonts w:ascii="宋体" w:hAnsi="宋体"/>
          <w:sz w:val="24"/>
          <w:lang w:val="zh-CN"/>
        </w:rPr>
        <w:t>7</w:t>
      </w:r>
      <w:r>
        <w:rPr>
          <w:rFonts w:ascii="宋体" w:hAnsi="宋体"/>
          <w:sz w:val="24"/>
          <w:lang w:val="zh-CN"/>
        </w:rPr>
        <w:t>月提交我公司、武商集团股东大会审议通过了关于武汉商联变更承诺的议案，变更后承诺将于</w:t>
      </w:r>
      <w:r>
        <w:rPr>
          <w:rFonts w:ascii="宋体" w:hAnsi="宋体"/>
          <w:sz w:val="24"/>
          <w:lang w:val="zh-CN"/>
        </w:rPr>
        <w:t>2021</w:t>
      </w:r>
      <w:r>
        <w:rPr>
          <w:rFonts w:ascii="宋体" w:hAnsi="宋体"/>
          <w:sz w:val="24"/>
          <w:lang w:val="zh-CN"/>
        </w:rPr>
        <w:t>年</w:t>
      </w:r>
      <w:r>
        <w:rPr>
          <w:rFonts w:ascii="宋体" w:hAnsi="宋体"/>
          <w:sz w:val="24"/>
          <w:lang w:val="zh-CN"/>
        </w:rPr>
        <w:t>7</w:t>
      </w:r>
      <w:r>
        <w:rPr>
          <w:rFonts w:ascii="宋体" w:hAnsi="宋体"/>
          <w:sz w:val="24"/>
          <w:lang w:val="zh-CN"/>
        </w:rPr>
        <w:t>月到期。鉴于继续实施原承诺不利于维护上市公司及中小股东利益，现提请我公司董事会、股东大会审议武汉商</w:t>
      </w:r>
      <w:r>
        <w:rPr>
          <w:rFonts w:ascii="宋体" w:hAnsi="宋体"/>
          <w:sz w:val="24"/>
          <w:lang w:val="zh-CN"/>
        </w:rPr>
        <w:lastRenderedPageBreak/>
        <w:t>联变更承诺的议案。根据《上市公司监管指引第</w:t>
      </w:r>
      <w:r>
        <w:rPr>
          <w:rFonts w:ascii="宋体" w:hAnsi="宋体"/>
          <w:sz w:val="24"/>
          <w:lang w:val="zh-CN"/>
        </w:rPr>
        <w:t xml:space="preserve"> 4 </w:t>
      </w:r>
      <w:r>
        <w:rPr>
          <w:rFonts w:ascii="宋体" w:hAnsi="宋体"/>
          <w:sz w:val="24"/>
          <w:lang w:val="zh-CN"/>
        </w:rPr>
        <w:t>号—上市公司实际控制人、股东、关联方、收购人以及上市公司承诺及</w:t>
      </w:r>
      <w:r>
        <w:rPr>
          <w:rFonts w:ascii="宋体" w:hAnsi="宋体"/>
          <w:sz w:val="24"/>
          <w:lang w:val="zh-CN"/>
        </w:rPr>
        <w:t>履行》的相关规定，</w:t>
      </w:r>
      <w:r>
        <w:rPr>
          <w:rFonts w:ascii="宋体" w:hAnsi="宋体"/>
          <w:sz w:val="24"/>
          <w:lang w:val="zh-CN"/>
        </w:rPr>
        <w:t>2021</w:t>
      </w:r>
      <w:r>
        <w:rPr>
          <w:rFonts w:ascii="宋体" w:hAnsi="宋体"/>
          <w:sz w:val="24"/>
          <w:lang w:val="zh-CN"/>
        </w:rPr>
        <w:t>年</w:t>
      </w:r>
      <w:r>
        <w:rPr>
          <w:rFonts w:ascii="宋体" w:hAnsi="宋体"/>
          <w:sz w:val="24"/>
          <w:lang w:val="zh-CN"/>
        </w:rPr>
        <w:t>7</w:t>
      </w:r>
      <w:r>
        <w:rPr>
          <w:rFonts w:ascii="宋体" w:hAnsi="宋体"/>
          <w:sz w:val="24"/>
          <w:lang w:val="zh-CN"/>
        </w:rPr>
        <w:t>月</w:t>
      </w:r>
      <w:r>
        <w:rPr>
          <w:rFonts w:ascii="宋体" w:hAnsi="宋体"/>
          <w:sz w:val="24"/>
          <w:lang w:val="zh-CN"/>
        </w:rPr>
        <w:t>9</w:t>
      </w:r>
      <w:r>
        <w:rPr>
          <w:rFonts w:ascii="宋体" w:hAnsi="宋体"/>
          <w:sz w:val="24"/>
          <w:lang w:val="zh-CN"/>
        </w:rPr>
        <w:t>日和</w:t>
      </w:r>
      <w:r>
        <w:rPr>
          <w:rFonts w:ascii="宋体" w:hAnsi="宋体"/>
          <w:sz w:val="24"/>
          <w:lang w:val="zh-CN"/>
        </w:rPr>
        <w:t>7</w:t>
      </w:r>
      <w:r>
        <w:rPr>
          <w:rFonts w:ascii="宋体" w:hAnsi="宋体"/>
          <w:sz w:val="24"/>
          <w:lang w:val="zh-CN"/>
        </w:rPr>
        <w:t>月</w:t>
      </w:r>
      <w:r>
        <w:rPr>
          <w:rFonts w:ascii="宋体" w:hAnsi="宋体"/>
          <w:sz w:val="24"/>
          <w:lang w:val="zh-CN"/>
        </w:rPr>
        <w:t>26</w:t>
      </w:r>
      <w:r>
        <w:rPr>
          <w:rFonts w:ascii="宋体" w:hAnsi="宋体"/>
          <w:sz w:val="24"/>
          <w:lang w:val="zh-CN"/>
        </w:rPr>
        <w:t>日，公司分别召开第十届董事会第五次会议和</w:t>
      </w:r>
      <w:r>
        <w:rPr>
          <w:rFonts w:ascii="宋体" w:hAnsi="宋体"/>
          <w:sz w:val="24"/>
          <w:lang w:val="zh-CN"/>
        </w:rPr>
        <w:t>2021</w:t>
      </w:r>
      <w:r>
        <w:rPr>
          <w:rFonts w:ascii="宋体" w:hAnsi="宋体"/>
          <w:sz w:val="24"/>
          <w:lang w:val="zh-CN"/>
        </w:rPr>
        <w:t>年第三次临时股东大会，审议通过了《关于第一大股东变更承诺的议案》，</w:t>
      </w:r>
      <w:r>
        <w:rPr>
          <w:rFonts w:ascii="宋体" w:hAnsi="宋体"/>
          <w:sz w:val="24"/>
        </w:rPr>
        <w:t>关于同业竞争事项变更后的承诺为：自股东大会审议通过本项议案之日起，武汉商联将积极推进、加大两家上市公司分业经营力度，在</w:t>
      </w:r>
      <w:r>
        <w:rPr>
          <w:rFonts w:ascii="宋体" w:hAnsi="宋体"/>
          <w:sz w:val="24"/>
        </w:rPr>
        <w:t>3</w:t>
      </w:r>
      <w:r>
        <w:rPr>
          <w:rFonts w:ascii="宋体" w:hAnsi="宋体"/>
          <w:sz w:val="24"/>
        </w:rPr>
        <w:t>年内通过资产重组等方式最终解决两家上市公司的同业竞争问题</w:t>
      </w:r>
      <w:r>
        <w:rPr>
          <w:rFonts w:ascii="宋体" w:hAnsi="宋体"/>
          <w:sz w:val="24"/>
          <w:lang w:val="zh-CN"/>
        </w:rPr>
        <w:t>。具体内容详见</w:t>
      </w:r>
      <w:r>
        <w:rPr>
          <w:rFonts w:ascii="宋体" w:hAnsi="宋体"/>
          <w:sz w:val="24"/>
          <w:lang w:val="zh-CN"/>
        </w:rPr>
        <w:t>2021</w:t>
      </w:r>
      <w:r>
        <w:rPr>
          <w:rFonts w:ascii="宋体" w:hAnsi="宋体"/>
          <w:sz w:val="24"/>
          <w:lang w:val="zh-CN"/>
        </w:rPr>
        <w:t>年</w:t>
      </w:r>
      <w:r>
        <w:rPr>
          <w:rFonts w:ascii="宋体" w:hAnsi="宋体"/>
          <w:sz w:val="24"/>
          <w:lang w:val="zh-CN"/>
        </w:rPr>
        <w:t>7</w:t>
      </w:r>
      <w:r>
        <w:rPr>
          <w:rFonts w:ascii="宋体" w:hAnsi="宋体"/>
          <w:sz w:val="24"/>
          <w:lang w:val="zh-CN"/>
        </w:rPr>
        <w:t>月</w:t>
      </w:r>
      <w:r>
        <w:rPr>
          <w:rFonts w:ascii="宋体" w:hAnsi="宋体"/>
          <w:sz w:val="24"/>
          <w:lang w:val="zh-CN"/>
        </w:rPr>
        <w:t>10</w:t>
      </w:r>
      <w:r>
        <w:rPr>
          <w:rFonts w:ascii="宋体" w:hAnsi="宋体"/>
          <w:sz w:val="24"/>
          <w:lang w:val="zh-CN"/>
        </w:rPr>
        <w:t>日刊登在《中国证券报》《证券时报》《上海证券报》及巨潮资讯网（</w:t>
      </w:r>
      <w:r>
        <w:rPr>
          <w:rFonts w:ascii="宋体" w:hAnsi="宋体"/>
          <w:sz w:val="24"/>
          <w:lang w:val="zh-CN"/>
        </w:rPr>
        <w:t>www.cninfo.com.cn</w:t>
      </w:r>
      <w:r>
        <w:rPr>
          <w:rFonts w:ascii="宋体" w:hAnsi="宋体"/>
          <w:sz w:val="24"/>
          <w:lang w:val="zh-CN"/>
        </w:rPr>
        <w:t>）《关于第一大股东变更承诺的公告》（公告号：</w:t>
      </w:r>
      <w:r>
        <w:rPr>
          <w:rFonts w:ascii="宋体" w:hAnsi="宋体"/>
          <w:sz w:val="24"/>
          <w:lang w:val="zh-CN"/>
        </w:rPr>
        <w:t>20</w:t>
      </w:r>
      <w:r>
        <w:rPr>
          <w:rFonts w:ascii="宋体" w:hAnsi="宋体"/>
          <w:sz w:val="24"/>
          <w:lang w:val="zh-CN"/>
        </w:rPr>
        <w:t>21-053</w:t>
      </w:r>
      <w:r>
        <w:rPr>
          <w:rFonts w:ascii="宋体" w:hAnsi="宋体"/>
          <w:sz w:val="24"/>
          <w:lang w:val="zh-CN"/>
        </w:rPr>
        <w:t>）。</w:t>
      </w:r>
    </w:p>
    <w:p w:rsidR="00EE5E41" w:rsidRDefault="001F0DDA" w:rsidP="00825045">
      <w:pPr>
        <w:pStyle w:val="Chapter"/>
        <w:keepNext w:val="0"/>
        <w:keepLines w:val="0"/>
        <w:adjustRightInd w:val="0"/>
        <w:snapToGrid w:val="0"/>
        <w:spacing w:after="0" w:line="240" w:lineRule="auto"/>
        <w:outlineLvl w:val="1"/>
        <w:rPr>
          <w:rFonts w:ascii="黑体" w:eastAsia="黑体" w:hAnsi="黑体" w:hint="default"/>
          <w:b w:val="0"/>
        </w:rPr>
      </w:pPr>
      <w:r>
        <w:rPr>
          <w:rFonts w:ascii="黑体" w:eastAsia="黑体" w:hAnsi="黑体"/>
          <w:b w:val="0"/>
        </w:rPr>
        <w:t>四、季度财务报表</w:t>
      </w:r>
    </w:p>
    <w:p w:rsidR="00EE5E41" w:rsidRDefault="001F0DDA" w:rsidP="00825045">
      <w:pPr>
        <w:pStyle w:val="Section"/>
        <w:keepNext w:val="0"/>
        <w:keepLines w:val="0"/>
        <w:adjustRightInd w:val="0"/>
        <w:snapToGrid w:val="0"/>
        <w:spacing w:before="0" w:after="0" w:line="240" w:lineRule="auto"/>
        <w:outlineLvl w:val="2"/>
        <w:rPr>
          <w:rFonts w:ascii="宋体" w:hAnsi="宋体" w:hint="default"/>
          <w:b w:val="0"/>
          <w:sz w:val="24"/>
        </w:rPr>
      </w:pPr>
      <w:r>
        <w:rPr>
          <w:rFonts w:ascii="宋体" w:hAnsi="宋体"/>
          <w:b w:val="0"/>
          <w:sz w:val="24"/>
        </w:rPr>
        <w:t>(</w:t>
      </w:r>
      <w:r>
        <w:rPr>
          <w:rFonts w:ascii="宋体" w:hAnsi="宋体"/>
          <w:b w:val="0"/>
          <w:sz w:val="24"/>
        </w:rPr>
        <w:t>一</w:t>
      </w:r>
      <w:r>
        <w:rPr>
          <w:rFonts w:ascii="宋体" w:hAnsi="宋体"/>
          <w:b w:val="0"/>
          <w:sz w:val="24"/>
        </w:rPr>
        <w:t>)</w:t>
      </w:r>
      <w:r>
        <w:rPr>
          <w:rFonts w:ascii="宋体" w:hAnsi="宋体"/>
          <w:b w:val="0"/>
          <w:sz w:val="24"/>
        </w:rPr>
        <w:t>财务报表</w:t>
      </w:r>
    </w:p>
    <w:p w:rsidR="00EE5E41" w:rsidRDefault="001F0DDA" w:rsidP="00825045">
      <w:pPr>
        <w:pStyle w:val="Section"/>
        <w:keepNext w:val="0"/>
        <w:keepLines w:val="0"/>
        <w:adjustRightInd w:val="0"/>
        <w:snapToGrid w:val="0"/>
        <w:spacing w:before="0" w:after="0" w:line="240" w:lineRule="auto"/>
        <w:outlineLvl w:val="3"/>
        <w:rPr>
          <w:rFonts w:ascii="宋体" w:hAnsi="宋体" w:hint="default"/>
          <w:b w:val="0"/>
          <w:sz w:val="24"/>
        </w:rPr>
      </w:pPr>
      <w:r>
        <w:rPr>
          <w:rFonts w:ascii="宋体" w:hAnsi="宋体"/>
          <w:b w:val="0"/>
          <w:sz w:val="24"/>
        </w:rPr>
        <w:t>1</w:t>
      </w:r>
      <w:r>
        <w:rPr>
          <w:rFonts w:ascii="宋体" w:hAnsi="宋体"/>
          <w:b w:val="0"/>
          <w:sz w:val="24"/>
        </w:rPr>
        <w:t>、合并资产负债表</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编制单位：中百控股集团股份有限公司</w:t>
      </w:r>
    </w:p>
    <w:p w:rsidR="00EE5E41" w:rsidRDefault="001F0DDA" w:rsidP="00825045">
      <w:pPr>
        <w:jc w:val="center"/>
        <w:rPr>
          <w:rFonts w:hint="default"/>
          <w:sz w:val="21"/>
        </w:rPr>
      </w:pPr>
      <w:r>
        <w:rPr>
          <w:sz w:val="21"/>
        </w:rPr>
        <w:t>2021</w:t>
      </w:r>
      <w:r>
        <w:rPr>
          <w:sz w:val="21"/>
        </w:rPr>
        <w:t>年</w:t>
      </w:r>
      <w:r>
        <w:rPr>
          <w:sz w:val="21"/>
        </w:rPr>
        <w:t>09</w:t>
      </w:r>
      <w:r>
        <w:rPr>
          <w:sz w:val="21"/>
        </w:rPr>
        <w:t>月</w:t>
      </w:r>
      <w:r>
        <w:rPr>
          <w:sz w:val="21"/>
        </w:rPr>
        <w:t>30</w:t>
      </w:r>
      <w:r>
        <w:rPr>
          <w:sz w:val="21"/>
        </w:rPr>
        <w:t>日</w:t>
      </w:r>
    </w:p>
    <w:p w:rsidR="00EE5E41" w:rsidRDefault="001F0DDA" w:rsidP="00825045">
      <w:pPr>
        <w:jc w:val="right"/>
        <w:rPr>
          <w:rFonts w:hint="default"/>
        </w:rPr>
      </w:pPr>
      <w:r>
        <w:t>单位：元</w:t>
      </w:r>
    </w:p>
    <w:tbl>
      <w:tblPr>
        <w:tblW w:w="9568" w:type="dxa"/>
        <w:tblInd w:w="108" w:type="dxa"/>
        <w:tblLayout w:type="fixed"/>
        <w:tblLook w:val="04A0"/>
      </w:tblPr>
      <w:tblGrid>
        <w:gridCol w:w="4925"/>
        <w:gridCol w:w="2460"/>
        <w:gridCol w:w="2183"/>
      </w:tblGrid>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项目</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2021</w:t>
            </w:r>
            <w:r>
              <w:rPr>
                <w:sz w:val="21"/>
              </w:rPr>
              <w:t>年</w:t>
            </w:r>
            <w:r>
              <w:rPr>
                <w:sz w:val="21"/>
              </w:rPr>
              <w:t>9</w:t>
            </w:r>
            <w:r>
              <w:rPr>
                <w:sz w:val="21"/>
              </w:rPr>
              <w:t>月</w:t>
            </w:r>
            <w:r>
              <w:rPr>
                <w:sz w:val="21"/>
              </w:rPr>
              <w:t>30</w:t>
            </w:r>
            <w:r>
              <w:rPr>
                <w:sz w:val="21"/>
              </w:rPr>
              <w:t>日</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2020</w:t>
            </w:r>
            <w:r>
              <w:rPr>
                <w:sz w:val="21"/>
              </w:rPr>
              <w:t>年</w:t>
            </w:r>
            <w:r>
              <w:rPr>
                <w:sz w:val="21"/>
              </w:rPr>
              <w:t>12</w:t>
            </w:r>
            <w:r>
              <w:rPr>
                <w:sz w:val="21"/>
              </w:rPr>
              <w:t>月</w:t>
            </w:r>
            <w:r>
              <w:rPr>
                <w:sz w:val="21"/>
              </w:rPr>
              <w:t>31</w:t>
            </w:r>
            <w:r>
              <w:rPr>
                <w:sz w:val="21"/>
              </w:rPr>
              <w:t>日</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流动资产：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货币资金</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1,935,849,733.04</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1,364,781,128.94</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结算备付金</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拆出资金</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交易性金融资产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衍生金融资产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应收票据</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应收账款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198,248,547.44</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121,900,109.64</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应收款项融资</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预付款项</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202,756,494.91</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237,837,451.19</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应收保费</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应收分保账款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应收分保合同准备金</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其他应收款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53,375,428.62</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35,493,921.17</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其中：应收利息</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应收股利</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买入返售金融资产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存货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1,521,949,752.63</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1,764,838,451.64</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合同资产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持有待售资产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一年内到期的非流动资产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其他流动资产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25,092,633.71</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32,645,889.14</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lastRenderedPageBreak/>
              <w:t>流动资产合计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3,937,272,590.35</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3,557,496,951.72</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非流动资产：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发放贷款和垫款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债权投资</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其他债权投资</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长期应收款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长期股权投资</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206,920,496.29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236,092,399.57</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其他权益工具投资</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3,700,000.00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3,700,000.00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其他非流动金融资产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投资性房地产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43,823,444.51</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44,948,666.18</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固定资产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4,367,595,152.69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4,429,593,045.23</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在建工程</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242,914,677.09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197,262,236.61</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生产性生物资产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油气资产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使用权资产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2,656,676,048.12</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无形资产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355,598,309.69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364,250,958.47</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开发支出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商誉</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18,279,747.20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18,279,747.20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长期待摊费用</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673,528,167.16</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673,954,768.43</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递延所得税资产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21,133,910.78</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21,133,910.78</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其他非流动资产</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9,565,642.93</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10,574,273.41</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非流动资产合计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8,599,735,596.46</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5,999,790,005.88</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资产总计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12,537,008,186.81</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9,557,286,957.60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流动负债：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短期借款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1,555,000,000.00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995,000,000.00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向中央银行借款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拆入资金</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交易性金融负债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衍生金融负债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应付票据</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182,122,248.95</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314,888,053.95</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应付账款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2,151,156,469.64</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2,229,005,246.45</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预收款项</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1,616,535.03</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2,910,027.91</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合同负债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2,110,823,764.97</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1,788,266,598.35</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卖出回购金融资产款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吸收存款及同业存放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代理买卖证券款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代理承销证券款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应付职工薪酬</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50,789,684.19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52,496,955.09</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lastRenderedPageBreak/>
              <w:t xml:space="preserve">　　应交税费</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60,943,667.17</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98,198,934.02</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其他应付款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302,158,854.10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367,548,827.24</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其中：应付利息</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应付股利</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903,803.18</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890,867.18</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应付手续费及佣金</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应付分保账款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持有待售负债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一年内到期的非流动负债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482,848,320.89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其他流动负债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223,133,244.39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190,143,912.90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流动负债合计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7,120,592,789.33</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6,038,458,555.91</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非流动负债：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保险合同准备金</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长期借款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应付债券</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其中：优先股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永续债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租赁负债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2,224,610,801.35</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长期应付款</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长期应付职工薪酬</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预计负债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递延收益</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5,606,910.24</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6,831,366.97</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递延所得税负债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47,813,884.72</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47,813,884.72</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其他非流动负债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非流动负债合计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2,278,031,596.31</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54,645,251.69</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负债合计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9,398,624,385.64</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6,093,103,807.60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所有者权益：</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股本</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681,021,500.00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681,021,500.00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其他权益工具</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其中：优先股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永续债</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资本公积</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1,007,712,113.50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1,092,148,453.37</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减：库存股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170,072,653.04</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170,072,653.04</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其他综合收益</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-137,775.00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-137,775.00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专项储备</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盈余公积</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442,261,226.61</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442,261,226.61</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一般风险准备</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未分配利润</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1,113,486,033.95</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1,171,006,056.40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归属于母公司所有者权益合计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3,074,270,446.02</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3,216,226,808.34</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lastRenderedPageBreak/>
              <w:t xml:space="preserve">　　少数股东权益</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64,113,355.15</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247,956,341.66</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所有者权益合计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3,138,383,801.17</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3,464,183,150.00</w:t>
            </w:r>
          </w:p>
        </w:tc>
      </w:tr>
      <w:tr w:rsidR="00EE5E41">
        <w:tc>
          <w:tcPr>
            <w:tcW w:w="49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负债和所有者权益总计</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12,537,008,186.81</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9,557,286,957.60</w:t>
            </w:r>
          </w:p>
        </w:tc>
      </w:tr>
    </w:tbl>
    <w:p w:rsidR="00EE5E41" w:rsidRDefault="001F0DDA" w:rsidP="00825045">
      <w:pPr>
        <w:adjustRightInd w:val="0"/>
        <w:snapToGrid w:val="0"/>
        <w:spacing w:before="0" w:after="0"/>
        <w:rPr>
          <w:rFonts w:hint="default"/>
        </w:rPr>
      </w:pPr>
      <w:r>
        <w:t>法定代表人：李军</w:t>
      </w:r>
      <w:r>
        <w:t xml:space="preserve">                     </w:t>
      </w:r>
      <w:r>
        <w:t>主管会计工作负责人：张海文</w:t>
      </w:r>
      <w:r>
        <w:t xml:space="preserve">                     </w:t>
      </w:r>
      <w:r>
        <w:t>会计机构负责人：何立军</w:t>
      </w:r>
    </w:p>
    <w:p w:rsidR="00EE5E41" w:rsidRDefault="001F0DDA" w:rsidP="00825045">
      <w:pPr>
        <w:pStyle w:val="Section"/>
        <w:keepNext w:val="0"/>
        <w:keepLines w:val="0"/>
        <w:adjustRightInd w:val="0"/>
        <w:snapToGrid w:val="0"/>
        <w:spacing w:before="200" w:after="0" w:line="240" w:lineRule="auto"/>
        <w:outlineLvl w:val="3"/>
        <w:rPr>
          <w:rFonts w:hint="default"/>
          <w:b w:val="0"/>
          <w:sz w:val="24"/>
        </w:rPr>
      </w:pPr>
      <w:r>
        <w:rPr>
          <w:b w:val="0"/>
          <w:sz w:val="24"/>
        </w:rPr>
        <w:t>2</w:t>
      </w:r>
      <w:r>
        <w:rPr>
          <w:b w:val="0"/>
          <w:sz w:val="24"/>
        </w:rPr>
        <w:t>、合并年初到报告期末利润表</w:t>
      </w:r>
    </w:p>
    <w:p w:rsidR="00EE5E41" w:rsidRDefault="001F0DDA" w:rsidP="00825045">
      <w:pPr>
        <w:jc w:val="right"/>
        <w:rPr>
          <w:rFonts w:hint="default"/>
        </w:rPr>
      </w:pPr>
      <w:r>
        <w:t>单位：元</w:t>
      </w:r>
    </w:p>
    <w:tbl>
      <w:tblPr>
        <w:tblW w:w="9567" w:type="dxa"/>
        <w:tblInd w:w="108" w:type="dxa"/>
        <w:tblLayout w:type="fixed"/>
        <w:tblLook w:val="04A0"/>
      </w:tblPr>
      <w:tblGrid>
        <w:gridCol w:w="4940"/>
        <w:gridCol w:w="2445"/>
        <w:gridCol w:w="2182"/>
      </w:tblGrid>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项目</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本期发生额</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上期发生额</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一、营业总收入</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9,337,681,836.78</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10,226,986,853.04</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其中：营业收入</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9,337,681,836.78</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10,226,986,853.04</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利息收入</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已赚保费</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手续费及佣金收入</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二、营业总成本</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9,355,788,294.51</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10,254,938,543.00</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其中：营业成本</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7,004,167,122.75</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7,758,362,193.83</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利息支出</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手续费及佣金支出</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退保金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赔付支出净额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提取保险责任准备金净额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保单红利支出</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分保费用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税金及附加</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61,136,346.41</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36,359,737.68</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销售费用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1,857,702,952.43</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2,103,210,829.76</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管理费用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338,255,319.46</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332,056,245.65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研发费用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8,904,327.59</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970,468.13</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财务费用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85,622,225.87</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23,979,067.95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其中：利息费用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22,322,549.07</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15,872,737.67</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利息收入</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14,532,937.44</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26,885,721.44</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加：其他收益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63,912,048.92</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136,288,260.43</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投资收益（损失以“－”号填列）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-27,512,384.35</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-6,865,854.55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其中：对联营企业和合营企业的投资收益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-27,512,384.35</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-6,865,854.55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以摊余成本计量的金融资产终止确认收益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汇兑收益（损失以“</w:t>
            </w:r>
            <w:r>
              <w:rPr>
                <w:sz w:val="21"/>
              </w:rPr>
              <w:t>-</w:t>
            </w:r>
            <w:r>
              <w:rPr>
                <w:sz w:val="21"/>
              </w:rPr>
              <w:t>”号填列）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净敞口套期收益（损失以“－”号填列）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公允价值变动收益（损失以“－”号填列）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信用减值损失（损失以“</w:t>
            </w:r>
            <w:r>
              <w:rPr>
                <w:sz w:val="21"/>
              </w:rPr>
              <w:t>-</w:t>
            </w:r>
            <w:r>
              <w:rPr>
                <w:sz w:val="21"/>
              </w:rPr>
              <w:t>”号填列）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-6,345,256.39</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-2,751,613.84</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资产减值损失（损失以“</w:t>
            </w:r>
            <w:r>
              <w:rPr>
                <w:sz w:val="21"/>
              </w:rPr>
              <w:t>-</w:t>
            </w:r>
            <w:r>
              <w:rPr>
                <w:sz w:val="21"/>
              </w:rPr>
              <w:t>”号填列）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lastRenderedPageBreak/>
              <w:t xml:space="preserve">　　　　资产处置收益（损失以“</w:t>
            </w:r>
            <w:r>
              <w:rPr>
                <w:sz w:val="21"/>
              </w:rPr>
              <w:t>-</w:t>
            </w:r>
            <w:r>
              <w:rPr>
                <w:sz w:val="21"/>
              </w:rPr>
              <w:t>”号填列）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107,252.87</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14,846,445.34</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三、营业利润（亏损以“－”号填列）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12,055,203.32</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113,565,547.42</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加：营业外收入</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3,713,381.52</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884,538.41</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减：营业外支出</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5,717,681.19</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13,763,121.62</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四、利润总额（亏损总额以“－”号填列）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10,050,903.65</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100,686,964.21</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减：所得税费用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27,182,785.34</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14,892,075.16</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五、净利润（净亏损以“－”号填列）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-17,131,881.69</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85,794,889.05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（一）按经营持续性分类</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1.</w:t>
            </w:r>
            <w:r>
              <w:rPr>
                <w:sz w:val="21"/>
              </w:rPr>
              <w:t>持续经营净利润（净亏损以“－”号填列）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-17,131,881.69</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85,794,889.05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2.</w:t>
            </w:r>
            <w:r>
              <w:rPr>
                <w:sz w:val="21"/>
              </w:rPr>
              <w:t>终止经营净利润（净亏损以“－”号填列）</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（二）按所有权归属分类</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1.</w:t>
            </w:r>
            <w:r>
              <w:rPr>
                <w:sz w:val="21"/>
              </w:rPr>
              <w:t>归属于母公司所有者的净利润</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-24,718,548.15</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67,217,978.08</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2.</w:t>
            </w:r>
            <w:r>
              <w:rPr>
                <w:sz w:val="21"/>
              </w:rPr>
              <w:t>少数股东损益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7,586,666.46</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18,576,910.97</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六、其他综合收益的税后净额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归属母公司所有者的其他综合收益的税后净额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（一）不能重分类进损益的其他综合收益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1.</w:t>
            </w:r>
            <w:r>
              <w:rPr>
                <w:sz w:val="21"/>
              </w:rPr>
              <w:t>重新计量设定受益计划变动额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2.</w:t>
            </w:r>
            <w:r>
              <w:rPr>
                <w:sz w:val="21"/>
              </w:rPr>
              <w:t>权益法下不能转损益的其他综合收益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3.</w:t>
            </w:r>
            <w:r>
              <w:rPr>
                <w:sz w:val="21"/>
              </w:rPr>
              <w:t>其他权益工具投资公允价值变动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4.</w:t>
            </w:r>
            <w:r>
              <w:rPr>
                <w:sz w:val="21"/>
              </w:rPr>
              <w:t>企业自身信用风险公允价值变动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5.</w:t>
            </w:r>
            <w:r>
              <w:rPr>
                <w:sz w:val="21"/>
              </w:rPr>
              <w:t>其他</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（二）将重分类进损益的其他综合收益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1.</w:t>
            </w:r>
            <w:r>
              <w:rPr>
                <w:sz w:val="21"/>
              </w:rPr>
              <w:t>权益法下可转损益的其他综合收益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2.</w:t>
            </w:r>
            <w:r>
              <w:rPr>
                <w:sz w:val="21"/>
              </w:rPr>
              <w:t>其他债权投资公允价值变动</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3.</w:t>
            </w:r>
            <w:r>
              <w:rPr>
                <w:sz w:val="21"/>
              </w:rPr>
              <w:t>金融资产重分类计入其他综合收益的金额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4.</w:t>
            </w:r>
            <w:r>
              <w:rPr>
                <w:sz w:val="21"/>
              </w:rPr>
              <w:t>其他债权投资信用减值准备</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5.</w:t>
            </w:r>
            <w:r>
              <w:rPr>
                <w:sz w:val="21"/>
              </w:rPr>
              <w:t>现金流量套期储备</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6.</w:t>
            </w:r>
            <w:r>
              <w:rPr>
                <w:sz w:val="21"/>
              </w:rPr>
              <w:t>外币财务报表折算差额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w:t>
            </w:r>
            <w:r>
              <w:rPr>
                <w:sz w:val="21"/>
              </w:rPr>
              <w:t>7.</w:t>
            </w:r>
            <w:r>
              <w:rPr>
                <w:sz w:val="21"/>
              </w:rPr>
              <w:t>其他</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归属于少数股东的其他综合收益的税后净额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七、综合收益总额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-17,131,881.69</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85,794,889.05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归属于母公司所有者的综合收益总额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-24,718,548.15</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67,217,978.08</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归属于少数股东的综合收益总额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7,586,666.46</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18,576,910.97</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八、每股收益：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（一）基本每股收益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-0.038</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0.101</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（二）稀释每股收益</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-0.038</w:t>
            </w:r>
          </w:p>
        </w:tc>
        <w:tc>
          <w:tcPr>
            <w:tcW w:w="218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0.101</w:t>
            </w:r>
          </w:p>
        </w:tc>
      </w:tr>
    </w:tbl>
    <w:p w:rsidR="00EE5E41" w:rsidRDefault="001F0DDA" w:rsidP="00825045">
      <w:pPr>
        <w:adjustRightInd w:val="0"/>
        <w:snapToGrid w:val="0"/>
        <w:spacing w:before="0" w:after="0"/>
        <w:rPr>
          <w:rFonts w:hint="default"/>
        </w:rPr>
      </w:pPr>
      <w:r>
        <w:t>法定代表人：李军</w:t>
      </w:r>
      <w:r>
        <w:t xml:space="preserve">                     </w:t>
      </w:r>
      <w:r>
        <w:t>主管会计工作负责人：张海文</w:t>
      </w:r>
      <w:r>
        <w:t xml:space="preserve">                     </w:t>
      </w:r>
      <w:r>
        <w:t>会计机构负责人：何立军</w:t>
      </w:r>
    </w:p>
    <w:p w:rsidR="00EE5E41" w:rsidRDefault="001F0DDA" w:rsidP="00825045">
      <w:pPr>
        <w:pStyle w:val="Section"/>
        <w:keepNext w:val="0"/>
        <w:keepLines w:val="0"/>
        <w:adjustRightInd w:val="0"/>
        <w:snapToGrid w:val="0"/>
        <w:spacing w:before="200" w:after="0" w:line="240" w:lineRule="auto"/>
        <w:outlineLvl w:val="3"/>
        <w:rPr>
          <w:rFonts w:hint="default"/>
          <w:b w:val="0"/>
          <w:sz w:val="24"/>
        </w:rPr>
      </w:pPr>
      <w:r>
        <w:rPr>
          <w:b w:val="0"/>
          <w:sz w:val="24"/>
        </w:rPr>
        <w:lastRenderedPageBreak/>
        <w:t>3</w:t>
      </w:r>
      <w:r>
        <w:rPr>
          <w:b w:val="0"/>
          <w:sz w:val="24"/>
        </w:rPr>
        <w:t>、合并年初到报告期末现金流量表</w:t>
      </w:r>
    </w:p>
    <w:p w:rsidR="00EE5E41" w:rsidRDefault="001F0DDA" w:rsidP="00825045">
      <w:pPr>
        <w:jc w:val="right"/>
        <w:rPr>
          <w:rFonts w:hint="default"/>
        </w:rPr>
      </w:pPr>
      <w:r>
        <w:t>单位：元</w:t>
      </w:r>
    </w:p>
    <w:tbl>
      <w:tblPr>
        <w:tblW w:w="9568" w:type="dxa"/>
        <w:tblInd w:w="108" w:type="dxa"/>
        <w:tblLayout w:type="fixed"/>
        <w:tblLook w:val="04A0"/>
      </w:tblPr>
      <w:tblGrid>
        <w:gridCol w:w="4940"/>
        <w:gridCol w:w="2445"/>
        <w:gridCol w:w="2183"/>
      </w:tblGrid>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项目</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本期发生额</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上期发生额</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一、经营活动产生的现金流量：</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销售商品、提供劳务收到的现金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10,969,962,560.82</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12,702,416,953.34</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客户存款和同业存放款项净增加额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向中央银行借款净增加额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向其他金融机构拆入资金净增加额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收到原保险合同保费取得的现金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收到再保业务现金净额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保户储金及投资款净增加额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收取利息、手续费及佣金的现金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拆入资金净增加额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回购业务资金净增加额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代理买卖证券收到的现金净额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收到的税费返还</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收到其他与经营活动有关的现金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80,930,497.56</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161,294,571.26</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经营活动现金流入小计</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11,050,893,058.38</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12,863,711,524.60</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购买商品、接受劳务支付的现金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7,806,720,083.50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9,381,857,373.84</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客户贷款及垫款净增加额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存放中央银行和同业款项净增加额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支付原保险合同赔付款项的现金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拆出资金净增加额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支付利息、手续费及佣金的现金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支付保单红利的现金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支付给职工以及为职工支付的现金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1,204,215,950.32</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1,375,857,623.87</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支付的各项税费</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331,186,970.84</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272,856,815.09</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支付其他与经营活动有关的现金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650,790,357.20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995,090,175.05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经营活动现金流出小计</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9,992,913,361.86</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12,025,661,987.85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经营活动产生的现金流量净额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1,057,979,696.52</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838,049,536.75</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二、投资活动产生的现金流量：</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收回投资收到的现金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取得投资收益收到的现金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1,659,518.93</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1,253,333.33</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处置固定资产、无形资产和其他长期资产收回的现金净额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3,547,479.76</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15,385,372.56</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处置子公司及其他营业单位收到的现金净额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收到其他与投资活动有关的现金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投资活动现金流入小计</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5,206,998.69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16,638,705.89</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购建固定资产、无形资产和其他长期资产支付</w:t>
            </w:r>
            <w:r>
              <w:rPr>
                <w:sz w:val="21"/>
              </w:rPr>
              <w:lastRenderedPageBreak/>
              <w:t>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lastRenderedPageBreak/>
              <w:t>414,980,994.49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210,135,487.80</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lastRenderedPageBreak/>
              <w:t xml:space="preserve">　　投资支付的现金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质押贷款净增加额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取得子公司及其他营业单位支付的现金净额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支付其他与投资活动有关的现金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投资活动现金流出小计</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414,980,994.49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210,135,487.80</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投资活动产生的现金流量净额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-409,773,995.80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-193,496,781.91</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三、筹资活动产生的现金流量：</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吸收投资收到的现金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其中：子公司吸收少数股东投资收到的现金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取得借款收到的现金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1,705,000,000.00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1,188,000,000.00</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收到其他与筹资活动有关的现金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31,365,484.29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筹资活动现金流入小计</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1,736,365,484.29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1,188,000,000.00</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偿还债务支付的现金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1,145,000,000.00</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824,840,000.00</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分配股利、利润或偿付利息支付的现金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55,111,087.37</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53,911,275.97</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其中：子公司支付给少数股东的股利、利润</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8,622,950.86</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5,250,000.00</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支付其他与筹资活动有关的现金</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605,257,835.55</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160,227,345.79</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筹资活动现金流出小计</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1,805,368,922.92</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1,038,978,621.76</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筹资活动产生的现金流量净额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-69,003,438.63</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149,021,378.24</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四、汇率变动对现金及现金等价物的影响</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五、现金及现金等价物净增加额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579,202,262.09</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793,574,133.08</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加：期初现金及现金等价物余额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1,333,415,644.65</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998,185,104.21</w:t>
            </w:r>
          </w:p>
        </w:tc>
      </w:tr>
      <w:tr w:rsidR="00EE5E41">
        <w:tc>
          <w:tcPr>
            <w:tcW w:w="494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六、期末现金及现金等价物余额</w:t>
            </w:r>
          </w:p>
        </w:tc>
        <w:tc>
          <w:tcPr>
            <w:tcW w:w="244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1,912,617,906.74</w:t>
            </w:r>
          </w:p>
        </w:tc>
        <w:tc>
          <w:tcPr>
            <w:tcW w:w="218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1,791,759,237.29</w:t>
            </w:r>
          </w:p>
        </w:tc>
      </w:tr>
    </w:tbl>
    <w:p w:rsidR="00EE5E41" w:rsidRDefault="001F0DDA" w:rsidP="00825045">
      <w:pPr>
        <w:pStyle w:val="Section"/>
        <w:keepNext w:val="0"/>
        <w:keepLines w:val="0"/>
        <w:adjustRightInd w:val="0"/>
        <w:snapToGrid w:val="0"/>
        <w:spacing w:before="200" w:after="0" w:line="240" w:lineRule="auto"/>
        <w:outlineLvl w:val="2"/>
        <w:rPr>
          <w:rFonts w:ascii="宋体" w:hAnsi="宋体" w:hint="default"/>
          <w:b w:val="0"/>
          <w:sz w:val="24"/>
        </w:rPr>
      </w:pPr>
      <w:r>
        <w:rPr>
          <w:rFonts w:ascii="宋体" w:hAnsi="宋体"/>
          <w:b w:val="0"/>
          <w:sz w:val="24"/>
        </w:rPr>
        <w:t>(</w:t>
      </w:r>
      <w:r>
        <w:rPr>
          <w:rFonts w:ascii="宋体" w:hAnsi="宋体"/>
          <w:b w:val="0"/>
          <w:sz w:val="24"/>
        </w:rPr>
        <w:t>二</w:t>
      </w:r>
      <w:r>
        <w:rPr>
          <w:rFonts w:ascii="宋体" w:hAnsi="宋体"/>
          <w:b w:val="0"/>
          <w:sz w:val="24"/>
        </w:rPr>
        <w:t>)</w:t>
      </w:r>
      <w:r>
        <w:rPr>
          <w:rFonts w:ascii="宋体" w:hAnsi="宋体"/>
          <w:b w:val="0"/>
          <w:sz w:val="24"/>
        </w:rPr>
        <w:t>财务报表调整情况说明</w:t>
      </w:r>
    </w:p>
    <w:p w:rsidR="00EE5E41" w:rsidRDefault="001F0DDA" w:rsidP="00825045">
      <w:pPr>
        <w:pStyle w:val="Section"/>
        <w:keepNext w:val="0"/>
        <w:keepLines w:val="0"/>
        <w:adjustRightInd w:val="0"/>
        <w:snapToGrid w:val="0"/>
        <w:spacing w:before="0" w:after="0" w:line="240" w:lineRule="auto"/>
        <w:outlineLvl w:val="3"/>
        <w:rPr>
          <w:rFonts w:ascii="宋体" w:hAnsi="宋体" w:hint="default"/>
          <w:b w:val="0"/>
          <w:kern w:val="2"/>
          <w:sz w:val="24"/>
        </w:rPr>
      </w:pPr>
      <w:r>
        <w:rPr>
          <w:rFonts w:ascii="宋体" w:hAnsi="宋体"/>
          <w:b w:val="0"/>
          <w:kern w:val="2"/>
          <w:sz w:val="24"/>
        </w:rPr>
        <w:t>1</w:t>
      </w:r>
      <w:r>
        <w:rPr>
          <w:rFonts w:ascii="宋体" w:hAnsi="宋体"/>
          <w:b w:val="0"/>
          <w:kern w:val="2"/>
          <w:sz w:val="24"/>
        </w:rPr>
        <w:t>、</w:t>
      </w:r>
      <w:r>
        <w:rPr>
          <w:rFonts w:ascii="宋体" w:hAnsi="宋体"/>
          <w:b w:val="0"/>
          <w:kern w:val="2"/>
          <w:sz w:val="24"/>
        </w:rPr>
        <w:t>2021</w:t>
      </w:r>
      <w:r>
        <w:rPr>
          <w:rFonts w:ascii="宋体" w:hAnsi="宋体"/>
          <w:b w:val="0"/>
          <w:kern w:val="2"/>
          <w:sz w:val="24"/>
        </w:rPr>
        <w:t>年起首次执行新租赁准则调整首次执行当年年初财务报表相关项目情况</w:t>
      </w:r>
    </w:p>
    <w:p w:rsidR="00EE5E41" w:rsidRDefault="001F0DDA" w:rsidP="00825045">
      <w:pPr>
        <w:adjustRightInd w:val="0"/>
        <w:snapToGrid w:val="0"/>
        <w:spacing w:before="0" w:after="0"/>
        <w:jc w:val="left"/>
        <w:rPr>
          <w:rFonts w:ascii="宋体" w:hAnsi="宋体" w:hint="default"/>
          <w:sz w:val="24"/>
        </w:rPr>
      </w:pPr>
      <w:r>
        <w:rPr>
          <w:rFonts w:hint="default"/>
          <w:sz w:val="24"/>
          <w:szCs w:val="22"/>
        </w:rPr>
        <w:t>√</w:t>
      </w:r>
      <w:r>
        <w:rPr>
          <w:rFonts w:ascii="宋体" w:hAnsi="宋体"/>
          <w:sz w:val="24"/>
        </w:rPr>
        <w:t xml:space="preserve"> </w:t>
      </w:r>
      <w:r>
        <w:rPr>
          <w:rFonts w:ascii="宋体" w:hAnsi="宋体"/>
          <w:sz w:val="24"/>
        </w:rPr>
        <w:t>适用</w:t>
      </w:r>
      <w:r>
        <w:rPr>
          <w:rFonts w:ascii="宋体" w:hAnsi="宋体"/>
          <w:sz w:val="24"/>
        </w:rPr>
        <w:t xml:space="preserve"> </w:t>
      </w:r>
      <w:r>
        <w:rPr>
          <w:rFonts w:ascii="宋体" w:hAnsi="宋体"/>
          <w:sz w:val="24"/>
        </w:rPr>
        <w:t>□</w:t>
      </w:r>
      <w:r>
        <w:rPr>
          <w:rFonts w:ascii="宋体" w:hAnsi="宋体"/>
          <w:sz w:val="24"/>
        </w:rPr>
        <w:t xml:space="preserve"> </w:t>
      </w:r>
      <w:r>
        <w:rPr>
          <w:rFonts w:ascii="宋体" w:hAnsi="宋体"/>
          <w:sz w:val="24"/>
        </w:rPr>
        <w:t>不适用</w:t>
      </w:r>
      <w:r>
        <w:rPr>
          <w:rFonts w:ascii="宋体" w:hAnsi="宋体"/>
          <w:sz w:val="24"/>
        </w:rPr>
        <w:t xml:space="preserve"> </w:t>
      </w:r>
    </w:p>
    <w:p w:rsidR="00EE5E41" w:rsidRDefault="001F0DDA" w:rsidP="00825045">
      <w:pPr>
        <w:adjustRightInd w:val="0"/>
        <w:snapToGrid w:val="0"/>
        <w:spacing w:after="0"/>
        <w:jc w:val="left"/>
        <w:rPr>
          <w:rFonts w:ascii="宋体" w:hAnsi="宋体" w:hint="default"/>
          <w:sz w:val="24"/>
        </w:rPr>
      </w:pPr>
      <w:r>
        <w:rPr>
          <w:rFonts w:ascii="宋体" w:hAnsi="宋体"/>
          <w:sz w:val="24"/>
        </w:rPr>
        <w:t>是否需要调整年初资产负债表科目</w:t>
      </w:r>
    </w:p>
    <w:p w:rsidR="00EE5E41" w:rsidRDefault="001F0DDA" w:rsidP="00825045">
      <w:pPr>
        <w:adjustRightInd w:val="0"/>
        <w:snapToGrid w:val="0"/>
        <w:spacing w:before="0" w:after="0"/>
        <w:jc w:val="left"/>
        <w:rPr>
          <w:rFonts w:ascii="宋体" w:hAnsi="宋体" w:hint="default"/>
          <w:sz w:val="24"/>
        </w:rPr>
      </w:pPr>
      <w:r>
        <w:rPr>
          <w:rFonts w:hint="default"/>
          <w:sz w:val="24"/>
          <w:szCs w:val="22"/>
        </w:rPr>
        <w:t>√</w:t>
      </w:r>
      <w:r>
        <w:rPr>
          <w:rFonts w:ascii="宋体" w:hAnsi="宋体"/>
          <w:sz w:val="24"/>
        </w:rPr>
        <w:t xml:space="preserve"> </w:t>
      </w:r>
      <w:r>
        <w:rPr>
          <w:rFonts w:ascii="宋体" w:hAnsi="宋体"/>
          <w:sz w:val="24"/>
        </w:rPr>
        <w:t>是</w:t>
      </w:r>
      <w:r>
        <w:rPr>
          <w:rFonts w:ascii="宋体" w:hAnsi="宋体"/>
          <w:sz w:val="24"/>
        </w:rPr>
        <w:t xml:space="preserve"> </w:t>
      </w:r>
      <w:r>
        <w:rPr>
          <w:rFonts w:ascii="宋体" w:hAnsi="宋体"/>
          <w:sz w:val="24"/>
        </w:rPr>
        <w:t>□</w:t>
      </w:r>
      <w:r>
        <w:rPr>
          <w:rFonts w:ascii="宋体" w:hAnsi="宋体"/>
          <w:sz w:val="24"/>
        </w:rPr>
        <w:t xml:space="preserve"> </w:t>
      </w:r>
      <w:r>
        <w:rPr>
          <w:rFonts w:ascii="宋体" w:hAnsi="宋体"/>
          <w:sz w:val="24"/>
        </w:rPr>
        <w:t>否</w:t>
      </w:r>
      <w:r>
        <w:rPr>
          <w:rFonts w:ascii="宋体" w:hAnsi="宋体"/>
          <w:sz w:val="24"/>
        </w:rPr>
        <w:t xml:space="preserve"> </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合并资产负债表</w:t>
      </w:r>
    </w:p>
    <w:p w:rsidR="00EE5E41" w:rsidRDefault="001F0DDA" w:rsidP="00825045">
      <w:pPr>
        <w:jc w:val="right"/>
        <w:rPr>
          <w:rFonts w:hint="default"/>
        </w:rPr>
      </w:pPr>
      <w:r>
        <w:t>单位：元</w:t>
      </w:r>
    </w:p>
    <w:tbl>
      <w:tblPr>
        <w:tblW w:w="9567" w:type="dxa"/>
        <w:tblInd w:w="108" w:type="dxa"/>
        <w:tblLayout w:type="fixed"/>
        <w:tblLook w:val="04A0"/>
      </w:tblPr>
      <w:tblGrid>
        <w:gridCol w:w="2990"/>
        <w:gridCol w:w="2220"/>
        <w:gridCol w:w="2325"/>
        <w:gridCol w:w="2032"/>
      </w:tblGrid>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项目</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2020</w:t>
            </w:r>
            <w:r>
              <w:rPr>
                <w:sz w:val="21"/>
              </w:rPr>
              <w:t>年</w:t>
            </w:r>
            <w:r>
              <w:rPr>
                <w:sz w:val="21"/>
              </w:rPr>
              <w:t>12</w:t>
            </w:r>
            <w:r>
              <w:rPr>
                <w:sz w:val="21"/>
              </w:rPr>
              <w:t>月</w:t>
            </w:r>
            <w:r>
              <w:rPr>
                <w:sz w:val="21"/>
              </w:rPr>
              <w:t>31</w:t>
            </w:r>
            <w:r>
              <w:rPr>
                <w:sz w:val="21"/>
              </w:rPr>
              <w:t>日</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2021</w:t>
            </w:r>
            <w:r>
              <w:rPr>
                <w:sz w:val="21"/>
              </w:rPr>
              <w:t>年</w:t>
            </w:r>
            <w:r>
              <w:rPr>
                <w:sz w:val="21"/>
              </w:rPr>
              <w:t>01</w:t>
            </w:r>
            <w:r>
              <w:rPr>
                <w:sz w:val="21"/>
              </w:rPr>
              <w:t>月</w:t>
            </w:r>
            <w:r>
              <w:rPr>
                <w:sz w:val="21"/>
              </w:rPr>
              <w:t>01</w:t>
            </w:r>
            <w:r>
              <w:rPr>
                <w:sz w:val="21"/>
              </w:rPr>
              <w:t>日</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center"/>
              <w:rPr>
                <w:rFonts w:hint="default"/>
                <w:sz w:val="21"/>
              </w:rPr>
            </w:pPr>
            <w:r>
              <w:rPr>
                <w:sz w:val="21"/>
              </w:rPr>
              <w:t>调整数</w:t>
            </w: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流动资产：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货币资金</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1,364,781,128.94</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1,364,781,128.94</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结算备付金</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拆出资金</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交易性金融资产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衍生金融资产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应收票据</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lastRenderedPageBreak/>
              <w:t xml:space="preserve">　　应收账款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121,900,109.64</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121,900,109.64</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应收款项融资</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预付款项</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237,837,451.19</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237,837,451.19</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应收保费</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应收分保账款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应收分保合同准备金</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其他应收款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35,493,921.17</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35,493,921.17</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其中：应收利息</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应收股利</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买入返售金融资产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存货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1,764,838,451.64</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1,764,838,451.64</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合同资产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持有待售资产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一年内到期的非流动资产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其他流动资产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32,645,889.14</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32,645,889.14</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流动资产合计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3,557,496,951.72</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3,557,496,951.72</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非流动资产：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发放贷款和垫款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债权投资</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其他债权投资</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长期应收款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长期股权投资</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236,092,399.57</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236,092,399.57</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其他权益工具投资</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3,700,000.00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3,700,000.00</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其他非流动金融资产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投资性房地产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44,948,666.18</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44,948,666.18</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固定资产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4,429,593,045.23</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4,429,593,045.23</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在建工程</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197,262,236.61</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197,262,236.61</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生产性生物资产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油气资产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使用权资产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2,841,515,103.35</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2,841,515,103.35</w:t>
            </w: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无形资产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364,250,958.47</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364,250,958.47</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开发支出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商誉</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18,279,747.20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18,279,747.20</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长期待摊费用</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673,954,768.43</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673,954,768.43</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递延所得税资产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21,133,910.78</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21,133,910.78</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其他非流动资产</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10,574,273.41</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10,574,273.41</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非流动资产合计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5,999,790,005.88</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8,841,305,109.23</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2,841,515,103.35</w:t>
            </w: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资产总计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9,557,286,957.60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12,398,802,060.95</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2,841,515,103.35</w:t>
            </w: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lastRenderedPageBreak/>
              <w:t>流动负债：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短期借款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995,000,000.00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995,000,000.00</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向中央银行借款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拆入资金</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交易性金融负债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衍生金融负债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应付票据</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314,888,053.95</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314,888,053.95</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应付账款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2,229,005,246.45</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2,229,005,246.45</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预收款项</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2,910,027.91</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2,910,027.91</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合同负债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1,788,266,598.35</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1,788,266,598.35</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卖出回购金融资产款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吸收存款及同业存放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代理买卖证券款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代理承销证券款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应付职工薪酬</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52,496,955.09</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52,496,955.09</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应交税费</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98,198,934.02</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98,198,934.02</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其他应付款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367,548,827.24</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367,548,827.24</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其中：应付利息</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应付股利</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890,867.18</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890,867.18</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应付手续费及佣金</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应付分保账款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持有待售负债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一年内到期的非流动负债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430,741,771.44</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430,741,771.44</w:t>
            </w: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其他流动负债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190,143,912.90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190,143,912.90</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流动负债合计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6,038,458,555.91</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6,469,200,327.35</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430,741,771.44</w:t>
            </w: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非流动负债：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保险合同准备金</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长期借款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应付债券</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其中：优先股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永续债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租赁负债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2,410,773,331.91</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2,410,773,331.91</w:t>
            </w: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长期应付款</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长期应付职工薪酬</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预计负债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递延收益</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6,831,366.97</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6,831,366.97</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递延所得税负债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47,813,884.72</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47,813,884.72</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其他非流动负债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lastRenderedPageBreak/>
              <w:t>非流动负债合计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54,645,251.69</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2,465,418,583.60</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2,410,773,331.91</w:t>
            </w: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负债合计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6,093,103,807.60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8,934,618,910.95</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2,841,515,103.35</w:t>
            </w: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所有者权益：</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EE5E41" w:rsidP="00825045">
            <w:pPr>
              <w:jc w:val="lef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股本</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681,021,500.00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681,021,500.00</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其他权益工具</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其中：优先股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永续债</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资本公积</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1,092,148,453.37</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1,092,148,453.37</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减：库存股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170,072,653.04</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170,072,653.04</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其他综合收益</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-137,775.00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-137,775.00</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专项储备</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盈余公积</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442,261,226.61</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442,261,226.61</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一般风险准备</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EE5E41" w:rsidP="00825045">
            <w:pPr>
              <w:jc w:val="right"/>
              <w:rPr>
                <w:rFonts w:hint="default"/>
                <w:sz w:val="21"/>
              </w:rPr>
            </w:pP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未分配利润</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1,171,006,056.40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1,171,006,056.40</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归属于母公司所有者权益合计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3,216,226,808.34</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3,216,226,808.34</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 xml:space="preserve">　　少数股东权益</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247,956,341.66</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247,956,341.66</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所有者权益合计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3,464,183,150.00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3,464,183,150.00</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EE5E41" w:rsidP="00825045">
            <w:pPr>
              <w:jc w:val="right"/>
              <w:rPr>
                <w:rFonts w:hint="default"/>
                <w:sz w:val="21"/>
              </w:rPr>
            </w:pPr>
          </w:p>
        </w:tc>
      </w:tr>
      <w:tr w:rsidR="00EE5E41">
        <w:tc>
          <w:tcPr>
            <w:tcW w:w="2990" w:type="dxa"/>
            <w:tcBorders>
              <w:top w:val="single" w:sz="4" w:space="0" w:color="auto"/>
              <w:left w:val="single" w:sz="4" w:space="0" w:color="auto"/>
              <w:bottom w:val="single" w:sz="4" w:space="0" w:color="auto"/>
              <w:right w:val="single" w:sz="4" w:space="0" w:color="auto"/>
              <w:tl2br w:val="nil"/>
              <w:tr2bl w:val="nil"/>
            </w:tcBorders>
            <w:shd w:val="clear" w:color="auto" w:fill="D3D3D3"/>
            <w:vAlign w:val="center"/>
          </w:tcPr>
          <w:p w:rsidR="00EE5E41" w:rsidRDefault="001F0DDA" w:rsidP="00825045">
            <w:pPr>
              <w:jc w:val="left"/>
              <w:rPr>
                <w:rFonts w:hint="default"/>
                <w:sz w:val="21"/>
              </w:rPr>
            </w:pPr>
            <w:r>
              <w:rPr>
                <w:sz w:val="21"/>
              </w:rPr>
              <w:t>负债和所有者权益总计</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E5E41" w:rsidRDefault="001F0DDA" w:rsidP="00825045">
            <w:pPr>
              <w:jc w:val="right"/>
              <w:rPr>
                <w:rFonts w:hint="default"/>
                <w:sz w:val="21"/>
              </w:rPr>
            </w:pPr>
            <w:r>
              <w:rPr>
                <w:sz w:val="21"/>
              </w:rPr>
              <w:t>9,557,286,957.60</w:t>
            </w:r>
          </w:p>
        </w:tc>
        <w:tc>
          <w:tcPr>
            <w:tcW w:w="232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12,398,802,060.95</w:t>
            </w:r>
          </w:p>
        </w:tc>
        <w:tc>
          <w:tcPr>
            <w:tcW w:w="203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E5E41" w:rsidRDefault="001F0DDA" w:rsidP="00825045">
            <w:pPr>
              <w:jc w:val="right"/>
              <w:rPr>
                <w:rFonts w:hint="default"/>
                <w:sz w:val="21"/>
              </w:rPr>
            </w:pPr>
            <w:r>
              <w:rPr>
                <w:sz w:val="21"/>
              </w:rPr>
              <w:t>2,841,515,103.35</w:t>
            </w:r>
          </w:p>
        </w:tc>
      </w:tr>
    </w:tbl>
    <w:p w:rsidR="00EE5E41" w:rsidRDefault="001F0DDA" w:rsidP="00825045">
      <w:pPr>
        <w:pStyle w:val="Section"/>
        <w:keepNext w:val="0"/>
        <w:keepLines w:val="0"/>
        <w:adjustRightInd w:val="0"/>
        <w:snapToGrid w:val="0"/>
        <w:spacing w:before="200" w:after="0" w:line="240" w:lineRule="auto"/>
        <w:outlineLvl w:val="3"/>
        <w:rPr>
          <w:rFonts w:ascii="宋体" w:hAnsi="宋体" w:hint="default"/>
          <w:b w:val="0"/>
          <w:sz w:val="24"/>
        </w:rPr>
      </w:pPr>
      <w:r>
        <w:rPr>
          <w:rFonts w:ascii="宋体" w:hAnsi="宋体"/>
          <w:b w:val="0"/>
          <w:sz w:val="24"/>
        </w:rPr>
        <w:t>2</w:t>
      </w:r>
      <w:r>
        <w:rPr>
          <w:rFonts w:ascii="宋体" w:hAnsi="宋体"/>
          <w:b w:val="0"/>
          <w:sz w:val="24"/>
        </w:rPr>
        <w:t>、</w:t>
      </w:r>
      <w:r>
        <w:rPr>
          <w:rFonts w:ascii="宋体" w:hAnsi="宋体"/>
          <w:b w:val="0"/>
          <w:sz w:val="24"/>
        </w:rPr>
        <w:t>2021</w:t>
      </w:r>
      <w:r>
        <w:rPr>
          <w:rFonts w:ascii="宋体" w:hAnsi="宋体"/>
          <w:b w:val="0"/>
          <w:sz w:val="24"/>
        </w:rPr>
        <w:t>年起首次执行新租赁准则追溯调整前期比较数据说明</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w:t>
      </w:r>
      <w:r>
        <w:rPr>
          <w:rFonts w:ascii="宋体" w:hAnsi="宋体"/>
          <w:sz w:val="24"/>
        </w:rPr>
        <w:t xml:space="preserve"> </w:t>
      </w:r>
      <w:r>
        <w:rPr>
          <w:rFonts w:ascii="宋体" w:hAnsi="宋体"/>
          <w:sz w:val="24"/>
        </w:rPr>
        <w:t>适用</w:t>
      </w:r>
      <w:r>
        <w:rPr>
          <w:rFonts w:ascii="宋体" w:hAnsi="宋体"/>
          <w:sz w:val="24"/>
        </w:rPr>
        <w:t xml:space="preserve"> </w:t>
      </w:r>
      <w:r>
        <w:rPr>
          <w:rFonts w:hint="default"/>
          <w:sz w:val="24"/>
          <w:szCs w:val="22"/>
        </w:rPr>
        <w:t>√</w:t>
      </w:r>
      <w:r>
        <w:rPr>
          <w:rFonts w:ascii="宋体" w:hAnsi="宋体"/>
          <w:sz w:val="24"/>
        </w:rPr>
        <w:t xml:space="preserve"> </w:t>
      </w:r>
      <w:r>
        <w:rPr>
          <w:rFonts w:ascii="宋体" w:hAnsi="宋体"/>
          <w:sz w:val="24"/>
        </w:rPr>
        <w:t>不适用</w:t>
      </w:r>
      <w:r>
        <w:rPr>
          <w:rFonts w:ascii="宋体" w:hAnsi="宋体"/>
          <w:sz w:val="24"/>
        </w:rPr>
        <w:t xml:space="preserve"> </w:t>
      </w:r>
    </w:p>
    <w:p w:rsidR="00EE5E41" w:rsidRDefault="001F0DDA" w:rsidP="00825045">
      <w:pPr>
        <w:pStyle w:val="Section"/>
        <w:keepNext w:val="0"/>
        <w:keepLines w:val="0"/>
        <w:adjustRightInd w:val="0"/>
        <w:snapToGrid w:val="0"/>
        <w:spacing w:after="0" w:line="240" w:lineRule="auto"/>
        <w:outlineLvl w:val="2"/>
        <w:rPr>
          <w:rFonts w:ascii="宋体" w:hAnsi="宋体" w:hint="default"/>
          <w:b w:val="0"/>
          <w:sz w:val="24"/>
        </w:rPr>
      </w:pPr>
      <w:r>
        <w:rPr>
          <w:rFonts w:ascii="宋体" w:hAnsi="宋体"/>
          <w:b w:val="0"/>
          <w:sz w:val="24"/>
        </w:rPr>
        <w:t>(</w:t>
      </w:r>
      <w:r>
        <w:rPr>
          <w:rFonts w:ascii="宋体" w:hAnsi="宋体"/>
          <w:b w:val="0"/>
          <w:sz w:val="24"/>
        </w:rPr>
        <w:t>三</w:t>
      </w:r>
      <w:r>
        <w:rPr>
          <w:rFonts w:ascii="宋体" w:hAnsi="宋体"/>
          <w:b w:val="0"/>
          <w:sz w:val="24"/>
        </w:rPr>
        <w:t>)</w:t>
      </w:r>
      <w:r>
        <w:rPr>
          <w:rFonts w:ascii="宋体" w:hAnsi="宋体"/>
          <w:b w:val="0"/>
          <w:sz w:val="24"/>
        </w:rPr>
        <w:t>审计报告</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第三季度报告是否经过审计</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w:t>
      </w:r>
      <w:r>
        <w:rPr>
          <w:rFonts w:ascii="宋体" w:hAnsi="宋体"/>
          <w:sz w:val="24"/>
        </w:rPr>
        <w:t xml:space="preserve"> </w:t>
      </w:r>
      <w:r>
        <w:rPr>
          <w:rFonts w:ascii="宋体" w:hAnsi="宋体"/>
          <w:sz w:val="24"/>
        </w:rPr>
        <w:t>是</w:t>
      </w:r>
      <w:r>
        <w:rPr>
          <w:rFonts w:ascii="宋体" w:hAnsi="宋体"/>
          <w:sz w:val="24"/>
        </w:rPr>
        <w:t xml:space="preserve"> </w:t>
      </w:r>
      <w:r>
        <w:rPr>
          <w:rFonts w:hint="default"/>
          <w:sz w:val="24"/>
          <w:szCs w:val="22"/>
        </w:rPr>
        <w:t>√</w:t>
      </w:r>
      <w:r>
        <w:rPr>
          <w:rFonts w:ascii="宋体" w:hAnsi="宋体"/>
          <w:sz w:val="24"/>
        </w:rPr>
        <w:t xml:space="preserve"> </w:t>
      </w:r>
      <w:r>
        <w:rPr>
          <w:rFonts w:ascii="宋体" w:hAnsi="宋体"/>
          <w:sz w:val="24"/>
        </w:rPr>
        <w:t>否</w:t>
      </w:r>
      <w:r>
        <w:rPr>
          <w:rFonts w:ascii="宋体" w:hAnsi="宋体"/>
          <w:sz w:val="24"/>
        </w:rPr>
        <w:t xml:space="preserve"> </w:t>
      </w:r>
    </w:p>
    <w:p w:rsidR="00EE5E41" w:rsidRDefault="001F0DDA" w:rsidP="00825045">
      <w:pPr>
        <w:adjustRightInd w:val="0"/>
        <w:snapToGrid w:val="0"/>
        <w:spacing w:before="0" w:after="0"/>
        <w:jc w:val="left"/>
        <w:rPr>
          <w:rFonts w:ascii="宋体" w:hAnsi="宋体" w:hint="default"/>
          <w:sz w:val="24"/>
        </w:rPr>
      </w:pPr>
      <w:r>
        <w:rPr>
          <w:rFonts w:ascii="宋体" w:hAnsi="宋体"/>
          <w:sz w:val="24"/>
        </w:rPr>
        <w:t>公司第三季度报告未经审计。</w:t>
      </w:r>
    </w:p>
    <w:p w:rsidR="00EE5E41" w:rsidRDefault="00EE5E41" w:rsidP="00825045">
      <w:pPr>
        <w:jc w:val="left"/>
        <w:rPr>
          <w:rFonts w:ascii="宋体" w:hAnsi="宋体" w:hint="default"/>
          <w:sz w:val="24"/>
        </w:rPr>
      </w:pPr>
    </w:p>
    <w:p w:rsidR="00EE5E41" w:rsidRDefault="00EE5E41" w:rsidP="00825045">
      <w:pPr>
        <w:jc w:val="left"/>
        <w:rPr>
          <w:rFonts w:ascii="宋体" w:hAnsi="宋体" w:hint="default"/>
          <w:sz w:val="24"/>
        </w:rPr>
      </w:pPr>
    </w:p>
    <w:p w:rsidR="00EE5E41" w:rsidRDefault="00EE5E41" w:rsidP="00825045">
      <w:pPr>
        <w:adjustRightInd w:val="0"/>
        <w:snapToGrid w:val="0"/>
        <w:spacing w:before="0" w:after="0" w:line="400" w:lineRule="exact"/>
        <w:jc w:val="left"/>
        <w:rPr>
          <w:rFonts w:ascii="宋体" w:hAnsi="宋体" w:hint="default"/>
          <w:sz w:val="24"/>
        </w:rPr>
      </w:pPr>
    </w:p>
    <w:p w:rsidR="00EE5E41" w:rsidRDefault="001F0DDA" w:rsidP="00825045">
      <w:pPr>
        <w:adjustRightInd w:val="0"/>
        <w:snapToGrid w:val="0"/>
        <w:spacing w:before="0" w:after="0" w:line="400" w:lineRule="exact"/>
        <w:jc w:val="right"/>
        <w:rPr>
          <w:rFonts w:ascii="宋体" w:hAnsi="宋体" w:hint="default"/>
          <w:sz w:val="24"/>
        </w:rPr>
      </w:pPr>
      <w:r>
        <w:rPr>
          <w:rFonts w:ascii="宋体" w:hAnsi="宋体"/>
          <w:sz w:val="24"/>
        </w:rPr>
        <w:t>中百控股集团股份有限公司</w:t>
      </w:r>
    </w:p>
    <w:p w:rsidR="00EE5E41" w:rsidRDefault="001F0DDA" w:rsidP="00825045">
      <w:pPr>
        <w:adjustRightInd w:val="0"/>
        <w:snapToGrid w:val="0"/>
        <w:spacing w:before="0" w:after="0" w:line="400" w:lineRule="exact"/>
        <w:jc w:val="center"/>
        <w:rPr>
          <w:rFonts w:ascii="宋体" w:hAnsi="宋体" w:hint="default"/>
          <w:sz w:val="24"/>
        </w:rPr>
      </w:pPr>
      <w:r>
        <w:rPr>
          <w:rFonts w:ascii="宋体" w:hAnsi="宋体"/>
          <w:sz w:val="24"/>
        </w:rPr>
        <w:t xml:space="preserve">                                                        </w:t>
      </w:r>
      <w:r>
        <w:rPr>
          <w:rFonts w:ascii="宋体" w:hAnsi="宋体"/>
          <w:sz w:val="24"/>
        </w:rPr>
        <w:t>董</w:t>
      </w:r>
      <w:r>
        <w:rPr>
          <w:rFonts w:ascii="宋体" w:hAnsi="宋体"/>
          <w:sz w:val="24"/>
        </w:rPr>
        <w:t xml:space="preserve"> </w:t>
      </w:r>
      <w:r>
        <w:rPr>
          <w:rFonts w:ascii="宋体" w:hAnsi="宋体"/>
          <w:sz w:val="24"/>
        </w:rPr>
        <w:t>事</w:t>
      </w:r>
      <w:r>
        <w:rPr>
          <w:rFonts w:ascii="宋体" w:hAnsi="宋体"/>
          <w:sz w:val="24"/>
        </w:rPr>
        <w:t xml:space="preserve"> </w:t>
      </w:r>
      <w:r>
        <w:rPr>
          <w:rFonts w:ascii="宋体" w:hAnsi="宋体"/>
          <w:sz w:val="24"/>
        </w:rPr>
        <w:t>会</w:t>
      </w:r>
    </w:p>
    <w:p w:rsidR="00EE5E41" w:rsidRDefault="001F0DDA" w:rsidP="00825045">
      <w:pPr>
        <w:adjustRightInd w:val="0"/>
        <w:snapToGrid w:val="0"/>
        <w:spacing w:before="0" w:after="0" w:line="400" w:lineRule="exact"/>
        <w:jc w:val="center"/>
        <w:rPr>
          <w:rFonts w:ascii="宋体" w:hAnsi="宋体" w:hint="default"/>
          <w:sz w:val="24"/>
        </w:rPr>
      </w:pPr>
      <w:r>
        <w:rPr>
          <w:rFonts w:ascii="宋体" w:hAnsi="宋体"/>
          <w:sz w:val="24"/>
        </w:rPr>
        <w:t xml:space="preserve">                                                        2021</w:t>
      </w:r>
      <w:r>
        <w:rPr>
          <w:rFonts w:ascii="宋体" w:hAnsi="宋体"/>
          <w:sz w:val="24"/>
        </w:rPr>
        <w:t>年</w:t>
      </w:r>
      <w:r>
        <w:rPr>
          <w:rFonts w:ascii="宋体" w:hAnsi="宋体"/>
          <w:sz w:val="24"/>
        </w:rPr>
        <w:t>10</w:t>
      </w:r>
      <w:r>
        <w:rPr>
          <w:rFonts w:ascii="宋体" w:hAnsi="宋体"/>
          <w:sz w:val="24"/>
        </w:rPr>
        <w:t>月</w:t>
      </w:r>
      <w:r>
        <w:rPr>
          <w:rFonts w:ascii="宋体" w:hAnsi="宋体"/>
          <w:sz w:val="24"/>
        </w:rPr>
        <w:t>2</w:t>
      </w:r>
      <w:r>
        <w:rPr>
          <w:rFonts w:ascii="宋体" w:hAnsi="宋体"/>
          <w:sz w:val="24"/>
        </w:rPr>
        <w:t>9</w:t>
      </w:r>
      <w:r>
        <w:rPr>
          <w:rFonts w:ascii="宋体" w:hAnsi="宋体"/>
          <w:sz w:val="24"/>
        </w:rPr>
        <w:t>日</w:t>
      </w:r>
    </w:p>
    <w:sectPr w:rsidR="00EE5E41" w:rsidSect="00EE5E41">
      <w:headerReference w:type="default" r:id="rId7"/>
      <w:footerReference w:type="default" r:id="rId8"/>
      <w:pgSz w:w="11906" w:h="16838"/>
      <w:pgMar w:top="1440"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DA" w:rsidRPr="00652AB0" w:rsidRDefault="001F0DDA" w:rsidP="00EE5E41">
      <w:pPr>
        <w:spacing w:before="0" w:after="0"/>
        <w:rPr>
          <w:sz w:val="24"/>
        </w:rPr>
      </w:pPr>
      <w:r>
        <w:separator/>
      </w:r>
    </w:p>
  </w:endnote>
  <w:endnote w:type="continuationSeparator" w:id="0">
    <w:p w:rsidR="001F0DDA" w:rsidRPr="00652AB0" w:rsidRDefault="001F0DDA" w:rsidP="00EE5E41">
      <w:pPr>
        <w:spacing w:before="0" w:after="0"/>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41" w:rsidRDefault="00EE5E41">
    <w:pPr>
      <w:rPr>
        <w:rFonts w:hint="default"/>
      </w:rPr>
    </w:pPr>
    <w:r>
      <w:rPr>
        <w:rFonts w:hint="default"/>
      </w:rPr>
      <w:fldChar w:fldCharType="begin"/>
    </w:r>
    <w:r w:rsidR="001F0DDA">
      <w:rPr>
        <w:rFonts w:hint="default"/>
      </w:rPr>
      <w:instrText xml:space="preserve"> PAGE</w:instrText>
    </w:r>
    <w:r w:rsidR="001F0DDA">
      <w:rPr>
        <w:rFonts w:hint="default"/>
      </w:rPr>
      <w:instrText xml:space="preserve"> </w:instrText>
    </w:r>
    <w:r>
      <w:rPr>
        <w:rFonts w:hint="default"/>
      </w:rPr>
      <w:fldChar w:fldCharType="separate"/>
    </w:r>
    <w:r w:rsidR="002D2048">
      <w:rPr>
        <w:rFonts w:hint="default"/>
        <w:noProof/>
      </w:rPr>
      <w:t>1</w:t>
    </w:r>
    <w:r>
      <w:rPr>
        <w:rFonts w:hint="defaul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DA" w:rsidRPr="00652AB0" w:rsidRDefault="001F0DDA" w:rsidP="00EE5E41">
      <w:pPr>
        <w:spacing w:before="0" w:after="0"/>
        <w:rPr>
          <w:sz w:val="24"/>
        </w:rPr>
      </w:pPr>
      <w:r>
        <w:separator/>
      </w:r>
    </w:p>
  </w:footnote>
  <w:footnote w:type="continuationSeparator" w:id="0">
    <w:p w:rsidR="001F0DDA" w:rsidRPr="00652AB0" w:rsidRDefault="001F0DDA" w:rsidP="00EE5E41">
      <w:pPr>
        <w:spacing w:before="0" w:after="0"/>
        <w:rPr>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41" w:rsidRDefault="001F0DDA">
    <w:pPr>
      <w:jc w:val="right"/>
      <w:rPr>
        <w:rFonts w:hint="default"/>
      </w:rPr>
    </w:pPr>
    <w:r>
      <w:t>中百控股集团股份有限公司</w:t>
    </w:r>
    <w:r>
      <w:t>2021</w:t>
    </w:r>
    <w:r>
      <w:t>年第三季度报告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1F0DDA"/>
    <w:rsid w:val="002D2048"/>
    <w:rsid w:val="00825045"/>
    <w:rsid w:val="00EE5E41"/>
    <w:rsid w:val="04F50C8C"/>
    <w:rsid w:val="17B442C6"/>
    <w:rsid w:val="26D60321"/>
    <w:rsid w:val="2D427133"/>
    <w:rsid w:val="309E5909"/>
    <w:rsid w:val="383D7561"/>
    <w:rsid w:val="41A66CEB"/>
    <w:rsid w:val="43DD2B28"/>
    <w:rsid w:val="4E5C1864"/>
    <w:rsid w:val="52BB4A50"/>
    <w:rsid w:val="53F53687"/>
    <w:rsid w:val="60FA371B"/>
    <w:rsid w:val="66A625F8"/>
    <w:rsid w:val="6B9034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nhideWhenUsed="1"/>
    <w:lsdException w:name="header" w:unhideWhenUsed="1"/>
    <w:lsdException w:name="footer" w:unhideWhenUsed="1"/>
    <w:lsdException w:name="Title"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semiHidden="1" w:unhideWhenUsed="1" w:qFormat="0"/>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99"/>
    <w:unhideWhenUsed/>
    <w:qFormat/>
    <w:rsid w:val="00EE5E41"/>
    <w:pPr>
      <w:widowControl w:val="0"/>
      <w:spacing w:before="40" w:after="40"/>
      <w:jc w:val="both"/>
    </w:pPr>
    <w:rPr>
      <w:rFonts w:hint="eastAsia"/>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EE5E41"/>
    <w:pPr>
      <w:tabs>
        <w:tab w:val="center" w:pos="4153"/>
        <w:tab w:val="right" w:pos="8306"/>
      </w:tabs>
      <w:snapToGrid w:val="0"/>
      <w:spacing w:before="0" w:after="0"/>
      <w:jc w:val="right"/>
    </w:pPr>
  </w:style>
  <w:style w:type="paragraph" w:styleId="a4">
    <w:name w:val="header"/>
    <w:basedOn w:val="a"/>
    <w:uiPriority w:val="99"/>
    <w:unhideWhenUsed/>
    <w:qFormat/>
    <w:rsid w:val="00EE5E41"/>
    <w:pPr>
      <w:pBdr>
        <w:bottom w:val="single" w:sz="6" w:space="1" w:color="auto"/>
      </w:pBdr>
      <w:tabs>
        <w:tab w:val="center" w:pos="4153"/>
        <w:tab w:val="right" w:pos="8306"/>
      </w:tabs>
      <w:snapToGrid w:val="0"/>
      <w:spacing w:before="0" w:after="0"/>
      <w:jc w:val="right"/>
    </w:pPr>
  </w:style>
  <w:style w:type="paragraph" w:styleId="a5">
    <w:name w:val="Title"/>
    <w:next w:val="a"/>
    <w:uiPriority w:val="99"/>
    <w:unhideWhenUsed/>
    <w:qFormat/>
    <w:rsid w:val="00EE5E41"/>
    <w:pPr>
      <w:keepNext/>
      <w:keepLines/>
      <w:widowControl w:val="0"/>
      <w:spacing w:before="340" w:after="330" w:line="578" w:lineRule="auto"/>
      <w:jc w:val="center"/>
    </w:pPr>
    <w:rPr>
      <w:rFonts w:hint="eastAsia"/>
      <w:b/>
      <w:kern w:val="32"/>
      <w:sz w:val="32"/>
    </w:rPr>
  </w:style>
  <w:style w:type="paragraph" w:customStyle="1" w:styleId="Section">
    <w:name w:val="Section"/>
    <w:next w:val="a"/>
    <w:uiPriority w:val="99"/>
    <w:unhideWhenUsed/>
    <w:qFormat/>
    <w:rsid w:val="00EE5E41"/>
    <w:pPr>
      <w:keepNext/>
      <w:keepLines/>
      <w:widowControl w:val="0"/>
      <w:spacing w:before="300" w:after="300" w:line="241" w:lineRule="auto"/>
      <w:jc w:val="both"/>
    </w:pPr>
    <w:rPr>
      <w:rFonts w:hint="eastAsia"/>
      <w:b/>
      <w:kern w:val="28"/>
      <w:sz w:val="21"/>
    </w:rPr>
  </w:style>
  <w:style w:type="paragraph" w:customStyle="1" w:styleId="Chapter">
    <w:name w:val="Chapter"/>
    <w:next w:val="a"/>
    <w:uiPriority w:val="99"/>
    <w:unhideWhenUsed/>
    <w:qFormat/>
    <w:rsid w:val="00EE5E41"/>
    <w:pPr>
      <w:keepNext/>
      <w:keepLines/>
      <w:widowControl w:val="0"/>
      <w:spacing w:before="300" w:after="300" w:line="241" w:lineRule="auto"/>
      <w:jc w:val="both"/>
    </w:pPr>
    <w:rPr>
      <w:rFonts w:hint="eastAsia"/>
      <w:b/>
      <w:kern w:val="28"/>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zbkgjt</dc:creator>
  <cp:lastModifiedBy>Administrator</cp:lastModifiedBy>
  <cp:revision>3</cp:revision>
  <dcterms:created xsi:type="dcterms:W3CDTF">2021-10-19T06:52:00Z</dcterms:created>
  <dcterms:modified xsi:type="dcterms:W3CDTF">2021-10-22T06:47:00Z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