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黑体" w:hAnsi="黑体" w:eastAsia="黑体" w:cs="黑体"/>
          <w:bCs/>
          <w:sz w:val="32"/>
          <w:szCs w:val="32"/>
        </w:rPr>
      </w:pPr>
      <w:r>
        <w:rPr>
          <w:rFonts w:hint="eastAsia" w:ascii="黑体" w:hAnsi="黑体" w:eastAsia="黑体" w:cs="黑体"/>
          <w:bCs/>
          <w:sz w:val="32"/>
          <w:szCs w:val="32"/>
        </w:rPr>
        <w:t>中百控股集团股份有限公司</w:t>
      </w:r>
    </w:p>
    <w:p>
      <w:pPr>
        <w:adjustRightInd w:val="0"/>
        <w:snapToGrid w:val="0"/>
        <w:jc w:val="center"/>
        <w:rPr>
          <w:rFonts w:ascii="黑体" w:hAnsi="黑体" w:eastAsia="黑体" w:cs="黑体"/>
          <w:bCs/>
          <w:sz w:val="32"/>
          <w:szCs w:val="32"/>
        </w:rPr>
      </w:pPr>
      <w:r>
        <w:rPr>
          <w:rFonts w:hint="eastAsia" w:ascii="黑体" w:hAnsi="黑体" w:eastAsia="黑体" w:cs="黑体"/>
          <w:bCs/>
          <w:sz w:val="32"/>
          <w:szCs w:val="32"/>
        </w:rPr>
        <w:t>企业负责人薪酬与经营业绩考核管理办法</w:t>
      </w:r>
    </w:p>
    <w:p>
      <w:pPr>
        <w:jc w:val="center"/>
        <w:rPr>
          <w:rFonts w:hint="eastAsia"/>
          <w:lang w:eastAsia="zh-CN"/>
        </w:rPr>
      </w:pPr>
      <w:r>
        <w:rPr>
          <w:rFonts w:hint="eastAsia"/>
          <w:lang w:eastAsia="zh-CN"/>
        </w:rPr>
        <w:t>（</w:t>
      </w:r>
      <w:r>
        <w:rPr>
          <w:rFonts w:hint="eastAsia"/>
          <w:lang w:val="en-US" w:eastAsia="zh-CN"/>
        </w:rPr>
        <w:t>尚须经公司股东大会审议通过</w:t>
      </w:r>
      <w:r>
        <w:rPr>
          <w:rFonts w:hint="eastAsia"/>
          <w:lang w:eastAsia="zh-CN"/>
        </w:rPr>
        <w:t>）</w:t>
      </w:r>
    </w:p>
    <w:p>
      <w:pPr>
        <w:adjustRightInd w:val="0"/>
        <w:snapToGrid w:val="0"/>
        <w:spacing w:line="400" w:lineRule="exact"/>
        <w:jc w:val="center"/>
        <w:rPr>
          <w:rFonts w:ascii="黑体" w:hAnsi="黑体" w:eastAsia="黑体" w:cs="黑体"/>
          <w:bCs/>
          <w:sz w:val="24"/>
        </w:rPr>
      </w:pPr>
    </w:p>
    <w:p>
      <w:pPr>
        <w:adjustRightInd w:val="0"/>
        <w:snapToGrid w:val="0"/>
        <w:spacing w:line="400" w:lineRule="exact"/>
        <w:jc w:val="center"/>
        <w:rPr>
          <w:rFonts w:ascii="黑体" w:hAnsi="黑体" w:eastAsia="黑体" w:cs="黑体"/>
          <w:bCs/>
          <w:sz w:val="24"/>
        </w:rPr>
      </w:pPr>
      <w:r>
        <w:rPr>
          <w:rFonts w:hint="eastAsia" w:ascii="黑体" w:hAnsi="黑体" w:eastAsia="黑体" w:cs="黑体"/>
          <w:bCs/>
          <w:sz w:val="24"/>
        </w:rPr>
        <w:t>第一章 总则</w:t>
      </w:r>
    </w:p>
    <w:p>
      <w:pPr>
        <w:adjustRightInd w:val="0"/>
        <w:snapToGrid w:val="0"/>
        <w:spacing w:line="400" w:lineRule="exact"/>
        <w:ind w:firstLine="484" w:firstLineChars="201"/>
        <w:jc w:val="left"/>
        <w:rPr>
          <w:rFonts w:ascii="宋体" w:hAnsi="宋体" w:cs="宋体"/>
          <w:sz w:val="24"/>
        </w:rPr>
      </w:pPr>
      <w:r>
        <w:rPr>
          <w:rFonts w:hint="eastAsia" w:ascii="宋体" w:hAnsi="宋体" w:cs="宋体"/>
          <w:b/>
          <w:sz w:val="24"/>
        </w:rPr>
        <w:t>第一条</w:t>
      </w:r>
      <w:r>
        <w:rPr>
          <w:rFonts w:hint="eastAsia" w:ascii="宋体" w:hAnsi="宋体" w:cs="宋体"/>
          <w:sz w:val="24"/>
        </w:rPr>
        <w:t xml:space="preserve"> 为建立健全有效的激励与约束机制，增强企业活力、创造力、市场竞争力和抗风险能力，结合公司实际情况，制定本办法。</w:t>
      </w:r>
    </w:p>
    <w:p>
      <w:pPr>
        <w:adjustRightInd w:val="0"/>
        <w:snapToGrid w:val="0"/>
        <w:spacing w:line="400" w:lineRule="exact"/>
        <w:ind w:firstLine="484" w:firstLineChars="201"/>
        <w:jc w:val="left"/>
        <w:rPr>
          <w:rFonts w:ascii="宋体" w:hAnsi="宋体" w:cs="宋体"/>
          <w:sz w:val="24"/>
        </w:rPr>
      </w:pPr>
      <w:r>
        <w:rPr>
          <w:rFonts w:hint="eastAsia" w:ascii="宋体" w:hAnsi="宋体" w:cs="宋体"/>
          <w:b/>
          <w:sz w:val="24"/>
        </w:rPr>
        <w:t>第二条</w:t>
      </w:r>
      <w:r>
        <w:rPr>
          <w:rFonts w:hint="eastAsia" w:ascii="宋体" w:hAnsi="宋体" w:cs="宋体"/>
          <w:sz w:val="24"/>
        </w:rPr>
        <w:t xml:space="preserve"> 本办法所称企业负责人是指中百控股集团股份有限公司董事长、党委书记、监事会主席、党委副书记和总经理、副总经理、董事会秘书等高级管理人员。</w:t>
      </w:r>
    </w:p>
    <w:p>
      <w:pPr>
        <w:adjustRightInd w:val="0"/>
        <w:snapToGrid w:val="0"/>
        <w:spacing w:line="400" w:lineRule="exact"/>
        <w:ind w:firstLine="484" w:firstLineChars="201"/>
        <w:jc w:val="left"/>
        <w:rPr>
          <w:rFonts w:ascii="宋体" w:hAnsi="宋体" w:cs="宋体"/>
          <w:sz w:val="24"/>
        </w:rPr>
      </w:pPr>
      <w:r>
        <w:rPr>
          <w:rFonts w:hint="eastAsia" w:ascii="宋体" w:hAnsi="宋体" w:cs="宋体"/>
          <w:b/>
          <w:sz w:val="24"/>
        </w:rPr>
        <w:t>第三条</w:t>
      </w:r>
      <w:r>
        <w:rPr>
          <w:rFonts w:hint="eastAsia" w:ascii="宋体" w:hAnsi="宋体" w:cs="宋体"/>
          <w:sz w:val="24"/>
        </w:rPr>
        <w:t xml:space="preserve"> 企业负责人薪酬管理与经营业绩考核工作遵循以下原则：</w:t>
      </w:r>
    </w:p>
    <w:p>
      <w:pPr>
        <w:adjustRightInd w:val="0"/>
        <w:snapToGrid w:val="0"/>
        <w:spacing w:line="400" w:lineRule="exact"/>
        <w:ind w:firstLine="482" w:firstLineChars="201"/>
        <w:jc w:val="left"/>
        <w:rPr>
          <w:rFonts w:ascii="宋体" w:hAnsi="宋体" w:cs="宋体"/>
          <w:sz w:val="24"/>
        </w:rPr>
      </w:pPr>
      <w:r>
        <w:rPr>
          <w:rFonts w:hint="eastAsia" w:ascii="宋体" w:hAnsi="宋体" w:cs="宋体"/>
          <w:sz w:val="24"/>
        </w:rPr>
        <w:t>（一）激励与约束并举。坚持价值创造与价值分配相匹配，业绩与薪酬双对标，激励兑现与目标实现相挂钩，建立权利义务对等，激励约束相符、风险收益匹配的激励约束机制。</w:t>
      </w:r>
    </w:p>
    <w:p>
      <w:pPr>
        <w:adjustRightInd w:val="0"/>
        <w:snapToGrid w:val="0"/>
        <w:spacing w:line="400" w:lineRule="exact"/>
        <w:ind w:firstLine="482" w:firstLineChars="201"/>
        <w:jc w:val="left"/>
        <w:rPr>
          <w:rFonts w:ascii="宋体" w:hAnsi="宋体" w:cs="宋体"/>
          <w:sz w:val="24"/>
        </w:rPr>
      </w:pPr>
      <w:r>
        <w:rPr>
          <w:rFonts w:hint="eastAsia" w:ascii="宋体" w:hAnsi="宋体" w:cs="宋体"/>
          <w:sz w:val="24"/>
        </w:rPr>
        <w:t>（二）多种激励方式并存。坚持短期激励和中长期激励相结合，建立健全多层次、系统化的激励体系，规避企业负责人短期行为，促进公司可持续发展。</w:t>
      </w:r>
    </w:p>
    <w:p>
      <w:pPr>
        <w:adjustRightInd w:val="0"/>
        <w:snapToGrid w:val="0"/>
        <w:spacing w:line="400" w:lineRule="exact"/>
        <w:ind w:firstLine="482" w:firstLineChars="201"/>
        <w:jc w:val="left"/>
        <w:rPr>
          <w:rFonts w:ascii="宋体" w:hAnsi="宋体" w:cs="宋体"/>
          <w:sz w:val="24"/>
        </w:rPr>
      </w:pPr>
      <w:r>
        <w:rPr>
          <w:rFonts w:hint="eastAsia" w:ascii="宋体" w:hAnsi="宋体" w:cs="宋体"/>
          <w:sz w:val="24"/>
        </w:rPr>
        <w:t>（三）权责利对等原则。按照权责利相统一、激励与约束相结合的要求，坚持企业负责人薪酬与经济效益紧密挂钩，与承担风险和责任相匹配的薪酬机制，即业绩升、薪酬升，业绩降、薪酬降。</w:t>
      </w:r>
    </w:p>
    <w:p>
      <w:pPr>
        <w:adjustRightInd w:val="0"/>
        <w:snapToGrid w:val="0"/>
        <w:spacing w:line="400" w:lineRule="exact"/>
        <w:ind w:firstLine="482" w:firstLineChars="201"/>
        <w:jc w:val="left"/>
        <w:rPr>
          <w:rFonts w:ascii="宋体" w:hAnsi="宋体" w:cs="宋体"/>
          <w:sz w:val="24"/>
        </w:rPr>
      </w:pPr>
      <w:r>
        <w:rPr>
          <w:rFonts w:hint="eastAsia" w:ascii="宋体" w:hAnsi="宋体" w:cs="宋体"/>
          <w:sz w:val="24"/>
        </w:rPr>
        <w:t>（四）任期考核与年度考核相结合原则。将企业短期目标，年度重点工作与企业长远发展、战略规划相结合，将企业负责人年度薪酬与长效激励相结合，做到结果考核与过程评价相统一。</w:t>
      </w:r>
    </w:p>
    <w:p>
      <w:pPr>
        <w:adjustRightInd w:val="0"/>
        <w:snapToGrid w:val="0"/>
        <w:spacing w:line="400" w:lineRule="exact"/>
        <w:ind w:firstLine="484" w:firstLineChars="201"/>
        <w:jc w:val="left"/>
        <w:rPr>
          <w:rFonts w:ascii="宋体" w:hAnsi="宋体" w:cs="宋体"/>
          <w:sz w:val="24"/>
        </w:rPr>
      </w:pPr>
      <w:r>
        <w:rPr>
          <w:rFonts w:hint="eastAsia" w:ascii="宋体" w:hAnsi="宋体" w:cs="宋体"/>
          <w:b/>
          <w:sz w:val="24"/>
        </w:rPr>
        <w:t>第四条</w:t>
      </w:r>
      <w:r>
        <w:rPr>
          <w:rFonts w:hint="eastAsia" w:ascii="宋体" w:hAnsi="宋体" w:cs="宋体"/>
          <w:sz w:val="24"/>
        </w:rPr>
        <w:t xml:space="preserve"> 公司董事会负责企业负责人经营业绩考核的相关工作。</w:t>
      </w:r>
    </w:p>
    <w:p>
      <w:pPr>
        <w:adjustRightInd w:val="0"/>
        <w:snapToGrid w:val="0"/>
        <w:spacing w:line="400" w:lineRule="exact"/>
        <w:jc w:val="center"/>
        <w:rPr>
          <w:rFonts w:ascii="宋体" w:hAnsi="宋体" w:cs="宋体"/>
          <w:b/>
          <w:sz w:val="24"/>
        </w:rPr>
      </w:pPr>
    </w:p>
    <w:p>
      <w:pPr>
        <w:adjustRightInd w:val="0"/>
        <w:snapToGrid w:val="0"/>
        <w:spacing w:line="400" w:lineRule="exact"/>
        <w:jc w:val="center"/>
        <w:rPr>
          <w:rFonts w:ascii="黑体" w:hAnsi="黑体" w:eastAsia="黑体" w:cs="黑体"/>
          <w:bCs/>
          <w:sz w:val="24"/>
        </w:rPr>
      </w:pPr>
      <w:r>
        <w:rPr>
          <w:rFonts w:hint="eastAsia" w:ascii="黑体" w:hAnsi="黑体" w:eastAsia="黑体" w:cs="黑体"/>
          <w:bCs/>
          <w:sz w:val="24"/>
        </w:rPr>
        <w:t>第二章 年度薪酬</w:t>
      </w:r>
    </w:p>
    <w:p>
      <w:pPr>
        <w:adjustRightInd w:val="0"/>
        <w:snapToGrid w:val="0"/>
        <w:spacing w:line="400" w:lineRule="exact"/>
        <w:ind w:firstLine="484" w:firstLineChars="201"/>
        <w:jc w:val="left"/>
        <w:rPr>
          <w:rFonts w:ascii="宋体" w:hAnsi="宋体" w:cs="宋体"/>
          <w:sz w:val="24"/>
        </w:rPr>
      </w:pPr>
      <w:r>
        <w:rPr>
          <w:rFonts w:hint="eastAsia" w:ascii="宋体" w:hAnsi="宋体" w:cs="宋体"/>
          <w:b/>
          <w:sz w:val="24"/>
        </w:rPr>
        <w:t xml:space="preserve">第五条 </w:t>
      </w:r>
      <w:r>
        <w:rPr>
          <w:rFonts w:hint="eastAsia" w:ascii="宋体" w:hAnsi="宋体" w:cs="宋体"/>
          <w:sz w:val="24"/>
        </w:rPr>
        <w:t>企业负责人年度薪酬由基本年薪、绩效年薪、特别奖励构成。</w:t>
      </w:r>
    </w:p>
    <w:p>
      <w:pPr>
        <w:adjustRightInd w:val="0"/>
        <w:snapToGrid w:val="0"/>
        <w:spacing w:line="400" w:lineRule="exact"/>
        <w:ind w:firstLine="484" w:firstLineChars="202"/>
        <w:jc w:val="left"/>
        <w:rPr>
          <w:rFonts w:ascii="宋体" w:hAnsi="宋体" w:cs="宋体"/>
          <w:sz w:val="24"/>
        </w:rPr>
      </w:pPr>
      <w:r>
        <w:rPr>
          <w:rFonts w:hint="eastAsia" w:ascii="宋体" w:hAnsi="宋体" w:cs="宋体"/>
          <w:sz w:val="24"/>
        </w:rPr>
        <w:t>（一）基本年薪是与企业负责人岗位职责相对应的年度固定收入，按月发放。企业主要负责人的基本年薪由董事会确定。当年基本年薪未确定前，暂按上年基本年薪标准发放，确定后再进行调整清算。</w:t>
      </w:r>
    </w:p>
    <w:p>
      <w:pPr>
        <w:adjustRightInd w:val="0"/>
        <w:snapToGrid w:val="0"/>
        <w:spacing w:line="400" w:lineRule="exact"/>
        <w:ind w:firstLine="482" w:firstLineChars="201"/>
        <w:jc w:val="left"/>
        <w:rPr>
          <w:rFonts w:ascii="宋体" w:hAnsi="宋体" w:cs="宋体"/>
          <w:sz w:val="24"/>
        </w:rPr>
      </w:pPr>
      <w:r>
        <w:rPr>
          <w:rFonts w:hint="eastAsia" w:ascii="宋体" w:hAnsi="宋体" w:cs="宋体"/>
          <w:sz w:val="24"/>
        </w:rPr>
        <w:t>（二）绩效年薪是与企业负责人年度经营业绩考核结果挂钩的浮动收入。绩效年薪=绩效年薪基数×年度经营业绩考核得分/100。</w:t>
      </w:r>
    </w:p>
    <w:p>
      <w:pPr>
        <w:adjustRightInd w:val="0"/>
        <w:snapToGrid w:val="0"/>
        <w:spacing w:line="400" w:lineRule="exact"/>
        <w:ind w:firstLine="482" w:firstLineChars="201"/>
        <w:jc w:val="left"/>
        <w:rPr>
          <w:rFonts w:ascii="宋体" w:hAnsi="宋体" w:cs="宋体"/>
          <w:sz w:val="24"/>
        </w:rPr>
      </w:pPr>
      <w:r>
        <w:rPr>
          <w:rFonts w:hint="eastAsia" w:ascii="宋体" w:hAnsi="宋体" w:cs="宋体"/>
          <w:sz w:val="24"/>
        </w:rPr>
        <w:t>主要负责人绩效年薪根据企业经营业绩，结合年度经营业绩考核结果确定。经营业绩增长，绩效年薪基数上调；经营业绩下降，绩效年薪基数下调。原则上，绩效年薪基数根据考核前两个年度实际兑现绩效年薪的平均值确定。</w:t>
      </w:r>
    </w:p>
    <w:p>
      <w:pPr>
        <w:adjustRightInd w:val="0"/>
        <w:snapToGrid w:val="0"/>
        <w:spacing w:line="400" w:lineRule="exact"/>
        <w:ind w:firstLine="482" w:firstLineChars="201"/>
        <w:jc w:val="left"/>
        <w:rPr>
          <w:rFonts w:ascii="宋体" w:hAnsi="宋体" w:cs="宋体"/>
          <w:sz w:val="24"/>
        </w:rPr>
      </w:pPr>
      <w:r>
        <w:rPr>
          <w:rFonts w:hint="eastAsia" w:ascii="宋体" w:hAnsi="宋体" w:cs="宋体"/>
          <w:sz w:val="24"/>
        </w:rPr>
        <w:t>公司绩效年薪的 70%在考核当期发放，30%延期兑付，在公司董事会届满时予以兑现。</w:t>
      </w:r>
    </w:p>
    <w:p>
      <w:pPr>
        <w:adjustRightInd w:val="0"/>
        <w:snapToGrid w:val="0"/>
        <w:spacing w:line="400" w:lineRule="exact"/>
        <w:ind w:firstLine="482" w:firstLineChars="201"/>
        <w:jc w:val="left"/>
        <w:rPr>
          <w:rFonts w:ascii="宋体" w:hAnsi="宋体" w:cs="宋体"/>
          <w:sz w:val="24"/>
        </w:rPr>
      </w:pPr>
      <w:r>
        <w:rPr>
          <w:rFonts w:hint="eastAsia" w:ascii="宋体" w:hAnsi="宋体" w:cs="宋体"/>
          <w:sz w:val="24"/>
        </w:rPr>
        <w:t>（三）特别奖励是针对企业负责人在打基础、管长远方面取得突出业绩而给予的奖励。具体包括以下情形：</w:t>
      </w:r>
    </w:p>
    <w:p>
      <w:pPr>
        <w:adjustRightInd w:val="0"/>
        <w:snapToGrid w:val="0"/>
        <w:spacing w:line="400" w:lineRule="exact"/>
        <w:ind w:firstLine="482" w:firstLineChars="201"/>
        <w:jc w:val="left"/>
        <w:rPr>
          <w:rFonts w:ascii="宋体" w:hAnsi="宋体" w:cs="宋体"/>
          <w:sz w:val="24"/>
        </w:rPr>
      </w:pPr>
      <w:r>
        <w:rPr>
          <w:rFonts w:hint="eastAsia" w:ascii="宋体" w:hAnsi="宋体" w:cs="宋体"/>
          <w:sz w:val="24"/>
        </w:rPr>
        <w:t>1.考核年度内在解决重大历史遗留问题、实现重大并购重组、切实解决转型升级难题，为长远发展打下良好基础的；</w:t>
      </w:r>
    </w:p>
    <w:p>
      <w:pPr>
        <w:adjustRightInd w:val="0"/>
        <w:snapToGrid w:val="0"/>
        <w:spacing w:line="400" w:lineRule="exact"/>
        <w:ind w:firstLine="482" w:firstLineChars="201"/>
        <w:jc w:val="left"/>
        <w:rPr>
          <w:rFonts w:ascii="宋体" w:hAnsi="宋体" w:cs="宋体"/>
          <w:sz w:val="24"/>
        </w:rPr>
      </w:pPr>
      <w:r>
        <w:rPr>
          <w:rFonts w:hint="eastAsia" w:ascii="宋体" w:hAnsi="宋体" w:cs="宋体"/>
          <w:sz w:val="24"/>
        </w:rPr>
        <w:t>2.经营性利润扭亏为盈成绩突出的；</w:t>
      </w:r>
    </w:p>
    <w:p>
      <w:pPr>
        <w:adjustRightInd w:val="0"/>
        <w:snapToGrid w:val="0"/>
        <w:spacing w:line="400" w:lineRule="exact"/>
        <w:ind w:firstLine="482" w:firstLineChars="201"/>
        <w:jc w:val="left"/>
        <w:rPr>
          <w:rFonts w:ascii="宋体" w:hAnsi="宋体" w:cs="宋体"/>
          <w:sz w:val="24"/>
        </w:rPr>
      </w:pPr>
      <w:r>
        <w:rPr>
          <w:rFonts w:hint="eastAsia" w:ascii="宋体" w:hAnsi="宋体" w:cs="宋体"/>
          <w:sz w:val="24"/>
        </w:rPr>
        <w:t>3.承担市委、市政府、市国资委交办的重大专项任务，取得较好经济效益或社会效益的；</w:t>
      </w:r>
    </w:p>
    <w:p>
      <w:pPr>
        <w:adjustRightInd w:val="0"/>
        <w:snapToGrid w:val="0"/>
        <w:spacing w:line="400" w:lineRule="exact"/>
        <w:ind w:firstLine="482" w:firstLineChars="201"/>
        <w:jc w:val="left"/>
        <w:rPr>
          <w:rFonts w:ascii="宋体" w:hAnsi="宋体" w:cs="宋体"/>
          <w:sz w:val="24"/>
        </w:rPr>
      </w:pPr>
      <w:r>
        <w:rPr>
          <w:rFonts w:hint="eastAsia" w:ascii="宋体" w:hAnsi="宋体" w:cs="宋体"/>
          <w:sz w:val="24"/>
        </w:rPr>
        <w:t>4.推行符合企业产业发展的技术创新项目，应用推广效果明显，突破性强，获得国家科技进步或者技术发明二等奖以上的；</w:t>
      </w:r>
    </w:p>
    <w:p>
      <w:pPr>
        <w:adjustRightInd w:val="0"/>
        <w:snapToGrid w:val="0"/>
        <w:spacing w:line="400" w:lineRule="exact"/>
        <w:ind w:firstLine="482" w:firstLineChars="201"/>
        <w:jc w:val="left"/>
        <w:rPr>
          <w:rFonts w:ascii="宋体" w:hAnsi="宋体" w:cs="宋体"/>
          <w:sz w:val="24"/>
        </w:rPr>
      </w:pPr>
      <w:r>
        <w:rPr>
          <w:rFonts w:hint="eastAsia" w:ascii="宋体" w:hAnsi="宋体" w:cs="宋体"/>
          <w:sz w:val="24"/>
        </w:rPr>
        <w:t>5.董事会认定的其他情形。</w:t>
      </w:r>
    </w:p>
    <w:p>
      <w:pPr>
        <w:adjustRightInd w:val="0"/>
        <w:snapToGrid w:val="0"/>
        <w:spacing w:line="400" w:lineRule="exact"/>
        <w:ind w:firstLine="482" w:firstLineChars="201"/>
        <w:jc w:val="left"/>
        <w:rPr>
          <w:rFonts w:ascii="宋体" w:hAnsi="宋体" w:cs="宋体"/>
          <w:sz w:val="24"/>
        </w:rPr>
      </w:pPr>
      <w:r>
        <w:rPr>
          <w:rFonts w:hint="eastAsia" w:ascii="宋体" w:hAnsi="宋体" w:cs="宋体"/>
          <w:sz w:val="24"/>
        </w:rPr>
        <w:t>年度终了，经公司董事会认定符合特别奖励情形的，可给予企业负责人和相关骨干员工特别奖励，其中主要负责人奖励金额不超过其当年基本年薪和绩效薪酬总额的30%，其他成员奖励金额经董事会审议决定。</w:t>
      </w:r>
    </w:p>
    <w:p>
      <w:pPr>
        <w:adjustRightInd w:val="0"/>
        <w:snapToGrid w:val="0"/>
        <w:spacing w:line="400" w:lineRule="exact"/>
        <w:ind w:firstLine="484" w:firstLineChars="201"/>
        <w:jc w:val="left"/>
        <w:rPr>
          <w:rFonts w:ascii="宋体" w:hAnsi="宋体" w:cs="宋体"/>
          <w:sz w:val="24"/>
        </w:rPr>
      </w:pPr>
      <w:r>
        <w:rPr>
          <w:rFonts w:hint="eastAsia" w:ascii="宋体" w:hAnsi="宋体" w:cs="宋体"/>
          <w:b/>
          <w:sz w:val="24"/>
        </w:rPr>
        <w:t>第六条</w:t>
      </w:r>
      <w:r>
        <w:rPr>
          <w:rFonts w:hint="eastAsia" w:ascii="宋体" w:hAnsi="宋体" w:cs="宋体"/>
          <w:sz w:val="24"/>
        </w:rPr>
        <w:t xml:space="preserve"> 公司</w:t>
      </w:r>
      <w:r>
        <w:rPr>
          <w:rFonts w:hint="eastAsia" w:ascii="宋体" w:hAnsi="宋体" w:cs="宋体"/>
          <w:sz w:val="24"/>
          <w:lang w:val="en-US" w:eastAsia="zh-CN"/>
        </w:rPr>
        <w:t>监事会主席</w:t>
      </w:r>
      <w:r>
        <w:rPr>
          <w:rFonts w:hint="eastAsia" w:ascii="宋体" w:hAnsi="宋体" w:cs="宋体"/>
          <w:sz w:val="24"/>
        </w:rPr>
        <w:t>、副总经理</w:t>
      </w:r>
      <w:r>
        <w:rPr>
          <w:rFonts w:hint="eastAsia" w:ascii="宋体" w:hAnsi="宋体" w:cs="宋体"/>
          <w:sz w:val="24"/>
          <w:lang w:eastAsia="zh-CN"/>
        </w:rPr>
        <w:t>、</w:t>
      </w:r>
      <w:r>
        <w:rPr>
          <w:rFonts w:hint="eastAsia" w:ascii="宋体" w:hAnsi="宋体" w:cs="宋体"/>
          <w:sz w:val="24"/>
          <w:lang w:val="en-US" w:eastAsia="zh-CN"/>
        </w:rPr>
        <w:t>董事会秘书</w:t>
      </w:r>
      <w:r>
        <w:rPr>
          <w:rFonts w:hint="eastAsia" w:ascii="宋体" w:hAnsi="宋体" w:cs="宋体"/>
          <w:sz w:val="24"/>
        </w:rPr>
        <w:t>年度薪酬根据各自岗位责任、风险、贡献和分管部室的工作业绩，按本公司主要负责人绩效年薪标准的 0.6-0.9 倍确定，合理拉开差距</w:t>
      </w:r>
      <w:bookmarkStart w:id="0" w:name="_GoBack"/>
      <w:bookmarkEnd w:id="0"/>
      <w:r>
        <w:rPr>
          <w:rFonts w:hint="eastAsia" w:ascii="宋体" w:hAnsi="宋体" w:cs="宋体"/>
          <w:sz w:val="24"/>
        </w:rPr>
        <w:t>。</w:t>
      </w:r>
    </w:p>
    <w:p>
      <w:pPr>
        <w:adjustRightInd w:val="0"/>
        <w:snapToGrid w:val="0"/>
        <w:spacing w:line="400" w:lineRule="exact"/>
        <w:ind w:firstLine="484" w:firstLineChars="201"/>
        <w:jc w:val="left"/>
        <w:rPr>
          <w:rFonts w:ascii="宋体" w:hAnsi="宋体" w:cs="宋体"/>
          <w:sz w:val="24"/>
        </w:rPr>
      </w:pPr>
      <w:r>
        <w:rPr>
          <w:rFonts w:hint="eastAsia" w:ascii="宋体" w:hAnsi="宋体" w:cs="宋体"/>
          <w:b/>
          <w:sz w:val="24"/>
        </w:rPr>
        <w:t>第七条</w:t>
      </w:r>
      <w:r>
        <w:rPr>
          <w:rFonts w:hint="eastAsia" w:ascii="宋体" w:hAnsi="宋体" w:cs="宋体"/>
          <w:sz w:val="24"/>
        </w:rPr>
        <w:t xml:space="preserve"> 董事会对企业负责人薪酬执行情况进行审计并在公司年度报告中进行披露。</w:t>
      </w:r>
    </w:p>
    <w:p>
      <w:pPr>
        <w:adjustRightInd w:val="0"/>
        <w:snapToGrid w:val="0"/>
        <w:spacing w:line="400" w:lineRule="exact"/>
        <w:ind w:firstLine="482" w:firstLineChars="201"/>
        <w:jc w:val="left"/>
        <w:rPr>
          <w:rFonts w:ascii="宋体" w:hAnsi="宋体" w:cs="宋体"/>
          <w:sz w:val="24"/>
        </w:rPr>
      </w:pPr>
    </w:p>
    <w:p>
      <w:pPr>
        <w:adjustRightInd w:val="0"/>
        <w:snapToGrid w:val="0"/>
        <w:spacing w:line="400" w:lineRule="exact"/>
        <w:jc w:val="center"/>
        <w:rPr>
          <w:rFonts w:ascii="黑体" w:hAnsi="黑体" w:eastAsia="黑体" w:cs="黑体"/>
          <w:bCs/>
          <w:sz w:val="24"/>
        </w:rPr>
      </w:pPr>
      <w:r>
        <w:rPr>
          <w:rFonts w:hint="eastAsia" w:ascii="黑体" w:hAnsi="黑体" w:eastAsia="黑体" w:cs="黑体"/>
          <w:bCs/>
          <w:sz w:val="24"/>
        </w:rPr>
        <w:t>第三章 经营业绩考核指标构成</w:t>
      </w:r>
    </w:p>
    <w:p>
      <w:pPr>
        <w:adjustRightInd w:val="0"/>
        <w:snapToGrid w:val="0"/>
        <w:spacing w:line="400" w:lineRule="exact"/>
        <w:ind w:firstLine="487" w:firstLineChars="202"/>
        <w:jc w:val="left"/>
        <w:rPr>
          <w:rFonts w:ascii="宋体" w:hAnsi="宋体" w:cs="宋体"/>
          <w:sz w:val="24"/>
        </w:rPr>
      </w:pPr>
      <w:r>
        <w:rPr>
          <w:rFonts w:hint="eastAsia" w:ascii="宋体" w:hAnsi="宋体" w:cs="宋体"/>
          <w:b/>
          <w:sz w:val="24"/>
        </w:rPr>
        <w:t>第八条</w:t>
      </w:r>
      <w:r>
        <w:rPr>
          <w:rFonts w:hint="eastAsia" w:ascii="宋体" w:hAnsi="宋体" w:cs="宋体"/>
          <w:sz w:val="24"/>
        </w:rPr>
        <w:t xml:space="preserve"> 经营业绩考核指标由基本指标、特色指标和评议指标构成。具体权重根据考核期内企业实际情况、工作侧重，由董事会确定。</w:t>
      </w:r>
    </w:p>
    <w:p>
      <w:pPr>
        <w:adjustRightInd w:val="0"/>
        <w:snapToGrid w:val="0"/>
        <w:spacing w:line="400" w:lineRule="exact"/>
        <w:ind w:firstLine="484" w:firstLineChars="202"/>
        <w:jc w:val="left"/>
        <w:rPr>
          <w:rFonts w:ascii="宋体" w:hAnsi="宋体" w:cs="宋体"/>
          <w:sz w:val="24"/>
        </w:rPr>
      </w:pPr>
      <w:r>
        <w:rPr>
          <w:rFonts w:hint="eastAsia" w:ascii="宋体" w:hAnsi="宋体" w:cs="宋体"/>
          <w:sz w:val="24"/>
        </w:rPr>
        <w:t>（一）基本指标为企业主要经营指标，一般为定量指标。主要考核营业收入、利润总额、归属母公司所有者的净利润、净资产收益率、人均利润等。</w:t>
      </w:r>
    </w:p>
    <w:p>
      <w:pPr>
        <w:adjustRightInd w:val="0"/>
        <w:snapToGrid w:val="0"/>
        <w:spacing w:line="400" w:lineRule="exact"/>
        <w:ind w:firstLine="484" w:firstLineChars="202"/>
        <w:jc w:val="left"/>
        <w:rPr>
          <w:rFonts w:ascii="宋体" w:hAnsi="宋体" w:cs="宋体"/>
          <w:sz w:val="24"/>
        </w:rPr>
      </w:pPr>
      <w:r>
        <w:rPr>
          <w:rFonts w:hint="eastAsia" w:ascii="宋体" w:hAnsi="宋体" w:cs="宋体"/>
          <w:sz w:val="24"/>
        </w:rPr>
        <w:t>（二）特色指标为企业个性考核指标，一般采取定量指标和定性指标相结合。根据企业功能定位、行业特点、业务类型、管理短板及发展阶段等因素确定，包括但不限于重点业务板块的业务规模、核心业务风险控制指标、重点项目形象进度、年度重大专项任务或改革发展工作等。</w:t>
      </w:r>
    </w:p>
    <w:p>
      <w:pPr>
        <w:adjustRightInd w:val="0"/>
        <w:snapToGrid w:val="0"/>
        <w:spacing w:line="400" w:lineRule="exact"/>
        <w:ind w:firstLine="484" w:firstLineChars="202"/>
        <w:jc w:val="left"/>
        <w:rPr>
          <w:rFonts w:ascii="宋体" w:hAnsi="宋体" w:cs="宋体"/>
          <w:sz w:val="24"/>
        </w:rPr>
      </w:pPr>
      <w:r>
        <w:rPr>
          <w:rFonts w:hint="eastAsia" w:ascii="宋体" w:hAnsi="宋体" w:cs="宋体"/>
          <w:sz w:val="24"/>
        </w:rPr>
        <w:t>（三）评议指标是指围绕企业加强党的建设、提升经营管理水平、促进企业发展、规范管理等方面，包括但不限于党建工作（群团工作）、党风廉政建设工作、安全稳定、经营管理等。</w:t>
      </w:r>
    </w:p>
    <w:p>
      <w:pPr>
        <w:adjustRightInd w:val="0"/>
        <w:snapToGrid w:val="0"/>
        <w:spacing w:line="400" w:lineRule="exact"/>
        <w:ind w:firstLine="487" w:firstLineChars="202"/>
        <w:jc w:val="left"/>
        <w:rPr>
          <w:rFonts w:ascii="宋体" w:hAnsi="宋体" w:cs="宋体"/>
          <w:sz w:val="24"/>
        </w:rPr>
      </w:pPr>
      <w:r>
        <w:rPr>
          <w:rFonts w:hint="eastAsia" w:ascii="宋体" w:hAnsi="宋体" w:cs="宋体"/>
          <w:b/>
          <w:sz w:val="24"/>
        </w:rPr>
        <w:t>第九条</w:t>
      </w:r>
      <w:r>
        <w:rPr>
          <w:rFonts w:hint="eastAsia" w:ascii="宋体" w:hAnsi="宋体" w:cs="宋体"/>
          <w:sz w:val="24"/>
        </w:rPr>
        <w:t xml:space="preserve"> 考核期内，根据公司经营、管理等方面的监管要求，董事会可在经营业绩考核得分基础上，给予加分奖励或扣分处理。</w:t>
      </w:r>
    </w:p>
    <w:p>
      <w:pPr>
        <w:adjustRightInd w:val="0"/>
        <w:snapToGrid w:val="0"/>
        <w:spacing w:line="400" w:lineRule="exact"/>
        <w:ind w:firstLine="487" w:firstLineChars="202"/>
        <w:jc w:val="left"/>
        <w:rPr>
          <w:rFonts w:ascii="宋体" w:hAnsi="宋体" w:cs="宋体"/>
          <w:sz w:val="24"/>
        </w:rPr>
      </w:pPr>
      <w:r>
        <w:rPr>
          <w:rFonts w:hint="eastAsia" w:ascii="宋体" w:hAnsi="宋体" w:cs="宋体"/>
          <w:b/>
          <w:sz w:val="24"/>
        </w:rPr>
        <w:t>第十条</w:t>
      </w:r>
      <w:r>
        <w:rPr>
          <w:rFonts w:hint="eastAsia" w:ascii="宋体" w:hAnsi="宋体" w:cs="宋体"/>
          <w:sz w:val="24"/>
        </w:rPr>
        <w:t xml:space="preserve"> 基本指标完成值主要以经审计的财务决算报告和经审核后的数据确定；特色指标完成情况由董事会进行核实；评议指标完成情况由董事会依据年度综合考核方案组织考察、考核后确定。基本指标与特色指标考核具体计分规则由董事会在确定年度及任期考核目标时同步明确指标计分细则。</w:t>
      </w:r>
    </w:p>
    <w:p>
      <w:pPr>
        <w:adjustRightInd w:val="0"/>
        <w:snapToGrid w:val="0"/>
        <w:spacing w:line="400" w:lineRule="exact"/>
        <w:ind w:firstLine="484" w:firstLineChars="202"/>
        <w:jc w:val="left"/>
        <w:rPr>
          <w:rFonts w:ascii="宋体" w:hAnsi="宋体" w:cs="宋体"/>
          <w:sz w:val="24"/>
        </w:rPr>
      </w:pPr>
    </w:p>
    <w:p>
      <w:pPr>
        <w:adjustRightInd w:val="0"/>
        <w:snapToGrid w:val="0"/>
        <w:spacing w:line="400" w:lineRule="exact"/>
        <w:jc w:val="center"/>
        <w:rPr>
          <w:rFonts w:ascii="黑体" w:hAnsi="黑体" w:eastAsia="黑体" w:cs="黑体"/>
          <w:bCs/>
          <w:sz w:val="24"/>
        </w:rPr>
      </w:pPr>
      <w:r>
        <w:rPr>
          <w:rFonts w:hint="eastAsia" w:ascii="黑体" w:hAnsi="黑体" w:eastAsia="黑体" w:cs="黑体"/>
          <w:bCs/>
          <w:sz w:val="24"/>
        </w:rPr>
        <w:t>第四章 年度经营业绩考核</w:t>
      </w:r>
    </w:p>
    <w:p>
      <w:pPr>
        <w:adjustRightInd w:val="0"/>
        <w:snapToGrid w:val="0"/>
        <w:spacing w:line="400" w:lineRule="exact"/>
        <w:ind w:firstLine="487" w:firstLineChars="202"/>
        <w:jc w:val="left"/>
        <w:rPr>
          <w:rFonts w:ascii="宋体" w:hAnsi="宋体" w:cs="宋体"/>
          <w:sz w:val="24"/>
        </w:rPr>
      </w:pPr>
      <w:r>
        <w:rPr>
          <w:rFonts w:hint="eastAsia" w:ascii="宋体" w:hAnsi="宋体" w:cs="宋体"/>
          <w:b/>
          <w:sz w:val="24"/>
        </w:rPr>
        <w:t>第十一条</w:t>
      </w:r>
      <w:r>
        <w:rPr>
          <w:rFonts w:hint="eastAsia" w:ascii="宋体" w:hAnsi="宋体" w:cs="宋体"/>
          <w:sz w:val="24"/>
        </w:rPr>
        <w:t xml:space="preserve"> 年度经营业绩考核以公历年作为考核期。年度经营业绩考核得分=基本指标考核得分+特色指标考核得分+评议指标考核得分+加分-扣分</w:t>
      </w:r>
    </w:p>
    <w:p>
      <w:pPr>
        <w:adjustRightInd w:val="0"/>
        <w:snapToGrid w:val="0"/>
        <w:spacing w:line="400" w:lineRule="exact"/>
        <w:ind w:firstLine="487" w:firstLineChars="202"/>
        <w:jc w:val="left"/>
        <w:rPr>
          <w:rFonts w:ascii="宋体" w:hAnsi="宋体" w:cs="宋体"/>
          <w:sz w:val="24"/>
        </w:rPr>
      </w:pPr>
      <w:r>
        <w:rPr>
          <w:rFonts w:hint="eastAsia" w:ascii="宋体" w:hAnsi="宋体" w:cs="宋体"/>
          <w:b/>
          <w:sz w:val="24"/>
        </w:rPr>
        <w:t>第十二条</w:t>
      </w:r>
      <w:r>
        <w:rPr>
          <w:rFonts w:hint="eastAsia" w:ascii="宋体" w:hAnsi="宋体" w:cs="宋体"/>
          <w:sz w:val="24"/>
        </w:rPr>
        <w:t xml:space="preserve"> 年度经营目标完成情况考核程序</w:t>
      </w:r>
    </w:p>
    <w:p>
      <w:pPr>
        <w:adjustRightInd w:val="0"/>
        <w:snapToGrid w:val="0"/>
        <w:spacing w:line="400" w:lineRule="exact"/>
        <w:ind w:firstLine="484" w:firstLineChars="202"/>
        <w:jc w:val="left"/>
        <w:rPr>
          <w:rFonts w:ascii="宋体" w:hAnsi="宋体" w:cs="宋体"/>
          <w:sz w:val="24"/>
        </w:rPr>
      </w:pPr>
      <w:r>
        <w:rPr>
          <w:rFonts w:hint="eastAsia" w:ascii="宋体" w:hAnsi="宋体" w:cs="宋体"/>
          <w:sz w:val="24"/>
        </w:rPr>
        <w:t>（一）目标自查。依据经审计的财务决算数据、年度经营工作完成情况，对年度经营业绩考核指标完成情况进行自查分析，形成年度经营业绩完成情况自查分析报告报董事会薪酬与考核委员会。</w:t>
      </w:r>
    </w:p>
    <w:p>
      <w:pPr>
        <w:adjustRightInd w:val="0"/>
        <w:snapToGrid w:val="0"/>
        <w:spacing w:line="400" w:lineRule="exact"/>
        <w:ind w:firstLine="482" w:firstLineChars="201"/>
        <w:jc w:val="left"/>
        <w:rPr>
          <w:rFonts w:ascii="宋体" w:hAnsi="宋体" w:cs="宋体"/>
          <w:color w:val="FF0000"/>
          <w:sz w:val="24"/>
        </w:rPr>
      </w:pPr>
      <w:r>
        <w:rPr>
          <w:rFonts w:hint="eastAsia" w:ascii="宋体" w:hAnsi="宋体" w:cs="宋体"/>
          <w:sz w:val="24"/>
        </w:rPr>
        <w:t>（二）核定目标完成值。由董事会薪酬与考核委员会组织对公司年度经营业绩考核指标中基本指标和特色指标完成情况进行专项审计，出具企业负责人年度经营业绩评价报告。</w:t>
      </w:r>
    </w:p>
    <w:p>
      <w:pPr>
        <w:adjustRightInd w:val="0"/>
        <w:snapToGrid w:val="0"/>
        <w:spacing w:line="400" w:lineRule="exact"/>
        <w:ind w:firstLine="482" w:firstLineChars="201"/>
        <w:jc w:val="left"/>
        <w:rPr>
          <w:rFonts w:ascii="宋体" w:hAnsi="宋体" w:cs="宋体"/>
          <w:sz w:val="24"/>
        </w:rPr>
      </w:pPr>
    </w:p>
    <w:p>
      <w:pPr>
        <w:adjustRightInd w:val="0"/>
        <w:snapToGrid w:val="0"/>
        <w:spacing w:line="400" w:lineRule="exact"/>
        <w:jc w:val="center"/>
        <w:rPr>
          <w:rFonts w:ascii="黑体" w:hAnsi="黑体" w:eastAsia="黑体" w:cs="黑体"/>
          <w:bCs/>
          <w:sz w:val="24"/>
        </w:rPr>
      </w:pPr>
      <w:r>
        <w:rPr>
          <w:rFonts w:hint="eastAsia" w:ascii="黑体" w:hAnsi="黑体" w:eastAsia="黑体" w:cs="黑体"/>
          <w:bCs/>
          <w:sz w:val="24"/>
        </w:rPr>
        <w:t>第五章 任期经营业绩考核</w:t>
      </w:r>
    </w:p>
    <w:p>
      <w:pPr>
        <w:adjustRightInd w:val="0"/>
        <w:snapToGrid w:val="0"/>
        <w:spacing w:line="400" w:lineRule="exact"/>
        <w:ind w:firstLine="484" w:firstLineChars="201"/>
        <w:jc w:val="left"/>
        <w:rPr>
          <w:rFonts w:ascii="宋体" w:hAnsi="宋体" w:cs="宋体"/>
          <w:sz w:val="24"/>
        </w:rPr>
      </w:pPr>
      <w:r>
        <w:rPr>
          <w:rFonts w:hint="eastAsia" w:ascii="宋体" w:hAnsi="宋体" w:cs="宋体"/>
          <w:b/>
          <w:sz w:val="24"/>
        </w:rPr>
        <w:t>第十三条</w:t>
      </w:r>
      <w:r>
        <w:rPr>
          <w:rFonts w:hint="eastAsia" w:ascii="宋体" w:hAnsi="宋体" w:cs="宋体"/>
          <w:sz w:val="24"/>
        </w:rPr>
        <w:t xml:space="preserve"> 任期经营业绩考核期限原则上与企业负责人任期相一致，考核期一般为3年。</w:t>
      </w:r>
    </w:p>
    <w:p>
      <w:pPr>
        <w:adjustRightInd w:val="0"/>
        <w:snapToGrid w:val="0"/>
        <w:spacing w:line="400" w:lineRule="exact"/>
        <w:ind w:firstLine="484" w:firstLineChars="201"/>
        <w:jc w:val="left"/>
        <w:rPr>
          <w:rFonts w:ascii="宋体" w:hAnsi="宋体" w:cs="宋体"/>
          <w:sz w:val="24"/>
        </w:rPr>
      </w:pPr>
      <w:r>
        <w:rPr>
          <w:rFonts w:hint="eastAsia" w:ascii="宋体" w:hAnsi="宋体" w:cs="宋体"/>
          <w:b/>
          <w:sz w:val="24"/>
        </w:rPr>
        <w:t>第十四条</w:t>
      </w:r>
      <w:r>
        <w:rPr>
          <w:rFonts w:hint="eastAsia" w:ascii="宋体" w:hAnsi="宋体" w:cs="宋体"/>
          <w:sz w:val="24"/>
        </w:rPr>
        <w:t xml:space="preserve"> 任期经营目标责任书主要包括下列内容：</w:t>
      </w:r>
    </w:p>
    <w:p>
      <w:pPr>
        <w:adjustRightInd w:val="0"/>
        <w:snapToGrid w:val="0"/>
        <w:spacing w:line="400" w:lineRule="exact"/>
        <w:ind w:firstLine="484" w:firstLineChars="202"/>
        <w:jc w:val="left"/>
        <w:rPr>
          <w:rFonts w:ascii="宋体" w:hAnsi="宋体" w:cs="宋体"/>
          <w:sz w:val="24"/>
        </w:rPr>
      </w:pPr>
      <w:r>
        <w:rPr>
          <w:rFonts w:hint="eastAsia" w:ascii="宋体" w:hAnsi="宋体" w:cs="宋体"/>
          <w:sz w:val="24"/>
        </w:rPr>
        <w:t>（一）双方基本信息。</w:t>
      </w:r>
    </w:p>
    <w:p>
      <w:pPr>
        <w:adjustRightInd w:val="0"/>
        <w:snapToGrid w:val="0"/>
        <w:spacing w:line="400" w:lineRule="exact"/>
        <w:ind w:firstLine="484" w:firstLineChars="202"/>
        <w:jc w:val="left"/>
        <w:rPr>
          <w:rFonts w:ascii="宋体" w:hAnsi="宋体" w:cs="宋体"/>
          <w:sz w:val="24"/>
        </w:rPr>
      </w:pPr>
      <w:r>
        <w:rPr>
          <w:rFonts w:hint="eastAsia" w:ascii="宋体" w:hAnsi="宋体" w:cs="宋体"/>
          <w:sz w:val="24"/>
        </w:rPr>
        <w:t>（二）考核内容及指标。</w:t>
      </w:r>
    </w:p>
    <w:p>
      <w:pPr>
        <w:adjustRightInd w:val="0"/>
        <w:snapToGrid w:val="0"/>
        <w:spacing w:line="400" w:lineRule="exact"/>
        <w:ind w:firstLine="484" w:firstLineChars="202"/>
        <w:jc w:val="left"/>
        <w:rPr>
          <w:rFonts w:ascii="宋体" w:hAnsi="宋体" w:cs="宋体"/>
          <w:sz w:val="24"/>
        </w:rPr>
      </w:pPr>
      <w:r>
        <w:rPr>
          <w:rFonts w:hint="eastAsia" w:ascii="宋体" w:hAnsi="宋体" w:cs="宋体"/>
          <w:sz w:val="24"/>
        </w:rPr>
        <w:t>（三）双方的权利和责任。</w:t>
      </w:r>
    </w:p>
    <w:p>
      <w:pPr>
        <w:adjustRightInd w:val="0"/>
        <w:snapToGrid w:val="0"/>
        <w:spacing w:line="400" w:lineRule="exact"/>
        <w:ind w:firstLine="484" w:firstLineChars="202"/>
        <w:jc w:val="left"/>
        <w:rPr>
          <w:rFonts w:ascii="宋体" w:hAnsi="宋体" w:cs="宋体"/>
          <w:sz w:val="24"/>
        </w:rPr>
      </w:pPr>
      <w:r>
        <w:rPr>
          <w:rFonts w:hint="eastAsia" w:ascii="宋体" w:hAnsi="宋体" w:cs="宋体"/>
          <w:sz w:val="24"/>
        </w:rPr>
        <w:t>（四）任期薪酬管理。</w:t>
      </w:r>
    </w:p>
    <w:p>
      <w:pPr>
        <w:adjustRightInd w:val="0"/>
        <w:snapToGrid w:val="0"/>
        <w:spacing w:line="400" w:lineRule="exact"/>
        <w:ind w:firstLine="484" w:firstLineChars="202"/>
        <w:jc w:val="left"/>
        <w:rPr>
          <w:rFonts w:ascii="宋体" w:hAnsi="宋体" w:cs="宋体"/>
          <w:sz w:val="24"/>
        </w:rPr>
      </w:pPr>
      <w:r>
        <w:rPr>
          <w:rFonts w:hint="eastAsia" w:ascii="宋体" w:hAnsi="宋体" w:cs="宋体"/>
          <w:sz w:val="24"/>
        </w:rPr>
        <w:t>（五）责任书的变更、解除和终止。</w:t>
      </w:r>
    </w:p>
    <w:p>
      <w:pPr>
        <w:adjustRightInd w:val="0"/>
        <w:snapToGrid w:val="0"/>
        <w:spacing w:line="400" w:lineRule="exact"/>
        <w:ind w:firstLine="484" w:firstLineChars="202"/>
        <w:jc w:val="left"/>
        <w:rPr>
          <w:rFonts w:ascii="宋体" w:hAnsi="宋体" w:cs="宋体"/>
          <w:sz w:val="24"/>
        </w:rPr>
      </w:pPr>
      <w:r>
        <w:rPr>
          <w:rFonts w:hint="eastAsia" w:ascii="宋体" w:hAnsi="宋体" w:cs="宋体"/>
          <w:sz w:val="24"/>
        </w:rPr>
        <w:t>（六）其他需要约定的事项。</w:t>
      </w:r>
    </w:p>
    <w:p>
      <w:pPr>
        <w:adjustRightInd w:val="0"/>
        <w:snapToGrid w:val="0"/>
        <w:spacing w:line="400" w:lineRule="exact"/>
        <w:ind w:firstLine="487" w:firstLineChars="202"/>
        <w:jc w:val="left"/>
        <w:rPr>
          <w:rFonts w:ascii="宋体" w:hAnsi="宋体" w:cs="宋体"/>
          <w:sz w:val="24"/>
        </w:rPr>
      </w:pPr>
      <w:r>
        <w:rPr>
          <w:rFonts w:hint="eastAsia" w:ascii="宋体" w:hAnsi="宋体" w:cs="宋体"/>
          <w:b/>
          <w:sz w:val="24"/>
        </w:rPr>
        <w:t>第十五条</w:t>
      </w:r>
      <w:r>
        <w:rPr>
          <w:rFonts w:hint="eastAsia" w:ascii="宋体" w:hAnsi="宋体" w:cs="宋体"/>
          <w:sz w:val="24"/>
        </w:rPr>
        <w:t xml:space="preserve"> 任期经营业绩考核指标目标值的核定原则。任期基本指标的目标值原则上根据公司战略定位，结合国内外宏观经济形势、行业趋势、历史水平及公司发展规划确定；任期特色指标目标值综合考虑公司中长期发展战略、改革创新及转型升级等因素确定。任期评议指标综合考虑任期内年度评议指标相关内容及要求确定。</w:t>
      </w:r>
    </w:p>
    <w:p>
      <w:pPr>
        <w:adjustRightInd w:val="0"/>
        <w:snapToGrid w:val="0"/>
        <w:spacing w:line="400" w:lineRule="exact"/>
        <w:ind w:firstLine="487" w:firstLineChars="202"/>
        <w:jc w:val="left"/>
        <w:rPr>
          <w:rFonts w:ascii="宋体" w:hAnsi="宋体" w:cs="宋体"/>
          <w:sz w:val="24"/>
        </w:rPr>
      </w:pPr>
      <w:r>
        <w:rPr>
          <w:rFonts w:hint="eastAsia" w:ascii="宋体" w:hAnsi="宋体" w:cs="宋体"/>
          <w:b/>
          <w:sz w:val="24"/>
        </w:rPr>
        <w:t xml:space="preserve">第十六条 </w:t>
      </w:r>
      <w:r>
        <w:rPr>
          <w:rFonts w:hint="eastAsia" w:ascii="宋体" w:hAnsi="宋体" w:cs="宋体"/>
          <w:sz w:val="24"/>
        </w:rPr>
        <w:t>任期经营业绩考核得分=任期基本指标考核得分+任期特色指标考核得分+任期评议指标考核得分（任期内年度评议指标考核得分三年平均值）+加分-扣分</w:t>
      </w:r>
    </w:p>
    <w:p>
      <w:pPr>
        <w:adjustRightInd w:val="0"/>
        <w:snapToGrid w:val="0"/>
        <w:spacing w:line="400" w:lineRule="exact"/>
        <w:ind w:firstLine="487" w:firstLineChars="202"/>
        <w:jc w:val="left"/>
        <w:rPr>
          <w:rFonts w:ascii="宋体" w:hAnsi="宋体" w:cs="宋体"/>
          <w:sz w:val="24"/>
        </w:rPr>
      </w:pPr>
      <w:r>
        <w:rPr>
          <w:rFonts w:hint="eastAsia" w:ascii="宋体" w:hAnsi="宋体" w:cs="宋体"/>
          <w:b/>
          <w:sz w:val="24"/>
        </w:rPr>
        <w:t>第十七条</w:t>
      </w:r>
      <w:r>
        <w:rPr>
          <w:rFonts w:hint="eastAsia" w:ascii="宋体" w:hAnsi="宋体" w:cs="宋体"/>
          <w:sz w:val="24"/>
        </w:rPr>
        <w:t xml:space="preserve"> 任期经营目标完成情况考核程序</w:t>
      </w:r>
    </w:p>
    <w:p>
      <w:pPr>
        <w:adjustRightInd w:val="0"/>
        <w:snapToGrid w:val="0"/>
        <w:spacing w:line="400" w:lineRule="exact"/>
        <w:ind w:firstLine="484" w:firstLineChars="202"/>
        <w:jc w:val="left"/>
        <w:rPr>
          <w:rFonts w:ascii="宋体" w:hAnsi="宋体" w:cs="宋体"/>
          <w:sz w:val="24"/>
        </w:rPr>
      </w:pPr>
      <w:r>
        <w:rPr>
          <w:rFonts w:hint="eastAsia" w:ascii="宋体" w:hAnsi="宋体" w:cs="宋体"/>
          <w:sz w:val="24"/>
        </w:rPr>
        <w:t>（一）目标自查。任期末，对任期经营业绩考核目标的完成情况进行全面分析总结，形成任期经营业绩完成情况自查分析报告及相关资料报董事会薪酬与考核委员会。</w:t>
      </w:r>
    </w:p>
    <w:p>
      <w:pPr>
        <w:adjustRightInd w:val="0"/>
        <w:snapToGrid w:val="0"/>
        <w:spacing w:line="400" w:lineRule="exact"/>
        <w:ind w:firstLine="482" w:firstLineChars="201"/>
        <w:jc w:val="left"/>
        <w:rPr>
          <w:rFonts w:ascii="宋体" w:hAnsi="宋体" w:cs="宋体"/>
          <w:color w:val="FF0000"/>
          <w:sz w:val="24"/>
        </w:rPr>
      </w:pPr>
      <w:r>
        <w:rPr>
          <w:rFonts w:hint="eastAsia" w:ascii="宋体" w:hAnsi="宋体" w:cs="宋体"/>
          <w:sz w:val="24"/>
        </w:rPr>
        <w:t>（二）核定目标完成值。任期结束后，由董事会薪酬与考核委员会组织对任期经营业绩考核指标中基本指标和特色指标完成情况进行专项审计，出具企业负责人任期经营业绩评价报告。</w:t>
      </w:r>
    </w:p>
    <w:p>
      <w:pPr>
        <w:adjustRightInd w:val="0"/>
        <w:snapToGrid w:val="0"/>
        <w:spacing w:line="400" w:lineRule="exact"/>
        <w:ind w:firstLine="484" w:firstLineChars="202"/>
        <w:jc w:val="left"/>
        <w:rPr>
          <w:rFonts w:ascii="宋体" w:hAnsi="宋体" w:cs="宋体"/>
          <w:sz w:val="24"/>
        </w:rPr>
      </w:pPr>
      <w:r>
        <w:rPr>
          <w:rFonts w:hint="eastAsia" w:ascii="宋体" w:hAnsi="宋体" w:cs="宋体"/>
          <w:sz w:val="24"/>
        </w:rPr>
        <w:t>（三）任期经营业绩考核一般结合任期届满当年年度考核一并进行。</w:t>
      </w:r>
    </w:p>
    <w:p>
      <w:pPr>
        <w:adjustRightInd w:val="0"/>
        <w:snapToGrid w:val="0"/>
        <w:spacing w:line="400" w:lineRule="exact"/>
        <w:ind w:firstLine="484" w:firstLineChars="202"/>
        <w:jc w:val="left"/>
        <w:rPr>
          <w:rFonts w:ascii="宋体" w:hAnsi="宋体" w:cs="宋体"/>
          <w:sz w:val="24"/>
        </w:rPr>
      </w:pPr>
    </w:p>
    <w:p>
      <w:pPr>
        <w:adjustRightInd w:val="0"/>
        <w:snapToGrid w:val="0"/>
        <w:spacing w:line="400" w:lineRule="exact"/>
        <w:jc w:val="center"/>
        <w:rPr>
          <w:rFonts w:ascii="黑体" w:hAnsi="黑体" w:eastAsia="黑体" w:cs="黑体"/>
          <w:bCs/>
          <w:sz w:val="24"/>
        </w:rPr>
      </w:pPr>
      <w:r>
        <w:rPr>
          <w:rFonts w:hint="eastAsia" w:ascii="黑体" w:hAnsi="黑体" w:eastAsia="黑体" w:cs="黑体"/>
          <w:bCs/>
          <w:sz w:val="24"/>
        </w:rPr>
        <w:t>第六章 中长期激励</w:t>
      </w:r>
    </w:p>
    <w:p>
      <w:pPr>
        <w:adjustRightInd w:val="0"/>
        <w:snapToGrid w:val="0"/>
        <w:spacing w:line="400" w:lineRule="exact"/>
        <w:ind w:firstLine="484" w:firstLineChars="201"/>
        <w:jc w:val="left"/>
        <w:rPr>
          <w:rFonts w:ascii="宋体" w:hAnsi="宋体" w:cs="宋体"/>
          <w:sz w:val="24"/>
        </w:rPr>
      </w:pPr>
      <w:r>
        <w:rPr>
          <w:rFonts w:hint="eastAsia" w:ascii="宋体" w:hAnsi="宋体" w:cs="宋体"/>
          <w:b/>
          <w:sz w:val="24"/>
        </w:rPr>
        <w:t>第十八条</w:t>
      </w:r>
      <w:r>
        <w:rPr>
          <w:rFonts w:hint="eastAsia" w:ascii="宋体" w:hAnsi="宋体" w:cs="宋体"/>
          <w:sz w:val="24"/>
        </w:rPr>
        <w:t xml:space="preserve"> 为优化公司激励机制，有效激发公司活力，实施不同类别的中长期激励，主要包括任期激励、超额利润分享、股权激励等类别。</w:t>
      </w:r>
    </w:p>
    <w:p>
      <w:pPr>
        <w:adjustRightInd w:val="0"/>
        <w:snapToGrid w:val="0"/>
        <w:spacing w:line="400" w:lineRule="exact"/>
        <w:ind w:firstLine="484" w:firstLineChars="201"/>
        <w:jc w:val="left"/>
        <w:rPr>
          <w:rFonts w:ascii="宋体" w:hAnsi="宋体" w:cs="宋体"/>
          <w:sz w:val="24"/>
        </w:rPr>
      </w:pPr>
      <w:r>
        <w:rPr>
          <w:rFonts w:hint="eastAsia" w:ascii="宋体" w:hAnsi="宋体" w:cs="宋体"/>
          <w:b/>
          <w:sz w:val="24"/>
        </w:rPr>
        <w:t>第十九条</w:t>
      </w:r>
      <w:r>
        <w:rPr>
          <w:rFonts w:hint="eastAsia" w:ascii="宋体" w:hAnsi="宋体" w:cs="宋体"/>
          <w:sz w:val="24"/>
        </w:rPr>
        <w:t xml:space="preserve"> 任期激励</w:t>
      </w:r>
    </w:p>
    <w:p>
      <w:pPr>
        <w:numPr>
          <w:ilvl w:val="0"/>
          <w:numId w:val="1"/>
        </w:numPr>
        <w:adjustRightInd w:val="0"/>
        <w:snapToGrid w:val="0"/>
        <w:spacing w:line="400" w:lineRule="exact"/>
        <w:ind w:firstLine="482" w:firstLineChars="201"/>
        <w:jc w:val="left"/>
        <w:rPr>
          <w:rFonts w:ascii="宋体" w:hAnsi="宋体" w:cs="宋体"/>
          <w:sz w:val="24"/>
        </w:rPr>
      </w:pPr>
      <w:r>
        <w:rPr>
          <w:rFonts w:hint="eastAsia" w:ascii="宋体" w:hAnsi="宋体" w:cs="宋体"/>
          <w:sz w:val="24"/>
        </w:rPr>
        <w:t>确定方式。任期激励是指与企业负责人任期经营业绩考核结果挂钩的收入，任期激励=任期激励基数×任期经营业绩考核得分/100。</w:t>
      </w:r>
    </w:p>
    <w:p>
      <w:pPr>
        <w:adjustRightInd w:val="0"/>
        <w:snapToGrid w:val="0"/>
        <w:spacing w:line="400" w:lineRule="exact"/>
        <w:ind w:firstLine="480" w:firstLineChars="200"/>
        <w:jc w:val="left"/>
        <w:rPr>
          <w:rFonts w:ascii="宋体" w:hAnsi="宋体" w:cs="宋体"/>
          <w:sz w:val="24"/>
        </w:rPr>
      </w:pPr>
      <w:r>
        <w:rPr>
          <w:rFonts w:hint="eastAsia" w:ascii="宋体" w:hAnsi="宋体" w:cs="宋体"/>
          <w:sz w:val="24"/>
        </w:rPr>
        <w:t>任期激励基数为企业负责人任期内基本年薪和绩效年薪总额的30%，具体标准在任期目标责任书中明确。</w:t>
      </w:r>
    </w:p>
    <w:p>
      <w:pPr>
        <w:adjustRightInd w:val="0"/>
        <w:snapToGrid w:val="0"/>
        <w:spacing w:line="400" w:lineRule="exact"/>
        <w:ind w:firstLine="482" w:firstLineChars="201"/>
        <w:jc w:val="left"/>
        <w:rPr>
          <w:rFonts w:ascii="宋体" w:hAnsi="宋体" w:cs="宋体"/>
          <w:sz w:val="24"/>
        </w:rPr>
      </w:pPr>
      <w:r>
        <w:rPr>
          <w:rFonts w:hint="eastAsia" w:ascii="宋体" w:hAnsi="宋体" w:cs="宋体"/>
          <w:sz w:val="24"/>
        </w:rPr>
        <w:t>（二）兑现方式。以3年为一个考核任期，任期结束后，任期激励根据任期业绩考核结果一次性兑付。</w:t>
      </w:r>
    </w:p>
    <w:p>
      <w:pPr>
        <w:adjustRightInd w:val="0"/>
        <w:snapToGrid w:val="0"/>
        <w:spacing w:line="400" w:lineRule="exact"/>
        <w:ind w:firstLine="484" w:firstLineChars="201"/>
        <w:jc w:val="left"/>
        <w:rPr>
          <w:rFonts w:ascii="宋体" w:hAnsi="宋体" w:cs="宋体"/>
          <w:sz w:val="24"/>
        </w:rPr>
      </w:pPr>
      <w:r>
        <w:rPr>
          <w:rFonts w:hint="eastAsia" w:ascii="宋体" w:hAnsi="宋体" w:cs="宋体"/>
          <w:b/>
          <w:sz w:val="24"/>
        </w:rPr>
        <w:t>第二十条</w:t>
      </w:r>
      <w:r>
        <w:rPr>
          <w:rFonts w:hint="eastAsia" w:ascii="宋体" w:hAnsi="宋体" w:cs="宋体"/>
          <w:sz w:val="24"/>
        </w:rPr>
        <w:t xml:space="preserve"> 超额利润分享</w:t>
      </w:r>
    </w:p>
    <w:p>
      <w:pPr>
        <w:adjustRightInd w:val="0"/>
        <w:snapToGrid w:val="0"/>
        <w:spacing w:line="400" w:lineRule="exact"/>
        <w:ind w:firstLine="482" w:firstLineChars="201"/>
        <w:jc w:val="left"/>
        <w:rPr>
          <w:rFonts w:ascii="宋体" w:hAnsi="宋体" w:cs="宋体"/>
          <w:sz w:val="24"/>
        </w:rPr>
      </w:pPr>
      <w:r>
        <w:rPr>
          <w:rFonts w:hint="eastAsia" w:ascii="宋体" w:hAnsi="宋体" w:cs="宋体"/>
          <w:sz w:val="24"/>
        </w:rPr>
        <w:t>（一）计提条件。目标利润和实际利润均为正值，其中目标利润原则上不低于以下利润水平的高者：</w:t>
      </w:r>
    </w:p>
    <w:p>
      <w:pPr>
        <w:adjustRightInd w:val="0"/>
        <w:snapToGrid w:val="0"/>
        <w:spacing w:line="400" w:lineRule="exact"/>
        <w:ind w:firstLine="482" w:firstLineChars="201"/>
        <w:jc w:val="left"/>
        <w:rPr>
          <w:rFonts w:ascii="宋体" w:hAnsi="宋体" w:cs="宋体"/>
          <w:sz w:val="24"/>
        </w:rPr>
      </w:pPr>
      <w:r>
        <w:rPr>
          <w:rFonts w:hint="eastAsia" w:ascii="宋体" w:hAnsi="宋体" w:cs="宋体"/>
          <w:sz w:val="24"/>
        </w:rPr>
        <w:t>1.企业利润考核目标；</w:t>
      </w:r>
    </w:p>
    <w:p>
      <w:pPr>
        <w:adjustRightInd w:val="0"/>
        <w:snapToGrid w:val="0"/>
        <w:spacing w:line="400" w:lineRule="exact"/>
        <w:ind w:firstLine="482" w:firstLineChars="201"/>
        <w:jc w:val="left"/>
        <w:rPr>
          <w:rFonts w:ascii="宋体" w:hAnsi="宋体" w:cs="宋体"/>
          <w:sz w:val="24"/>
        </w:rPr>
      </w:pPr>
      <w:r>
        <w:rPr>
          <w:rFonts w:hint="eastAsia" w:ascii="宋体" w:hAnsi="宋体" w:cs="宋体"/>
          <w:sz w:val="24"/>
        </w:rPr>
        <w:t>2.按照企业上一年净资产收益率计算的利润水平；</w:t>
      </w:r>
    </w:p>
    <w:p>
      <w:pPr>
        <w:adjustRightInd w:val="0"/>
        <w:snapToGrid w:val="0"/>
        <w:spacing w:line="400" w:lineRule="exact"/>
        <w:ind w:firstLine="482" w:firstLineChars="201"/>
        <w:jc w:val="left"/>
        <w:rPr>
          <w:rFonts w:ascii="宋体" w:hAnsi="宋体" w:cs="宋体"/>
          <w:sz w:val="24"/>
        </w:rPr>
      </w:pPr>
      <w:r>
        <w:rPr>
          <w:rFonts w:hint="eastAsia" w:ascii="宋体" w:hAnsi="宋体" w:cs="宋体"/>
          <w:sz w:val="24"/>
        </w:rPr>
        <w:t>3.企业近三年平均利润；</w:t>
      </w:r>
    </w:p>
    <w:p>
      <w:pPr>
        <w:adjustRightInd w:val="0"/>
        <w:snapToGrid w:val="0"/>
        <w:spacing w:line="400" w:lineRule="exact"/>
        <w:ind w:firstLine="482" w:firstLineChars="201"/>
        <w:jc w:val="left"/>
        <w:rPr>
          <w:rFonts w:ascii="宋体" w:hAnsi="宋体" w:cs="宋体"/>
          <w:sz w:val="24"/>
        </w:rPr>
      </w:pPr>
      <w:r>
        <w:rPr>
          <w:rFonts w:hint="eastAsia" w:ascii="宋体" w:hAnsi="宋体" w:cs="宋体"/>
          <w:sz w:val="24"/>
        </w:rPr>
        <w:t>4.按照行业平均净资产收益率计算的利润水平。</w:t>
      </w:r>
    </w:p>
    <w:p>
      <w:pPr>
        <w:adjustRightInd w:val="0"/>
        <w:snapToGrid w:val="0"/>
        <w:spacing w:line="400" w:lineRule="exact"/>
        <w:ind w:firstLine="482" w:firstLineChars="201"/>
        <w:jc w:val="left"/>
        <w:rPr>
          <w:rFonts w:ascii="宋体" w:hAnsi="宋体" w:cs="宋体"/>
          <w:sz w:val="24"/>
        </w:rPr>
      </w:pPr>
      <w:r>
        <w:rPr>
          <w:rFonts w:hint="eastAsia" w:ascii="宋体" w:hAnsi="宋体" w:cs="宋体"/>
          <w:sz w:val="24"/>
        </w:rPr>
        <w:t>（二）超额利润的确定原则。超额利润是指企业实际利润超出目标利润的部分，一般应剔除当年考核口径以外的重大资产处置、并购、重组、会计政策和会计估计变更、外部政策因素或需剔除的其他因素导致的利润变化。利润指标与年度目标责任书一致。</w:t>
      </w:r>
    </w:p>
    <w:p>
      <w:pPr>
        <w:adjustRightInd w:val="0"/>
        <w:snapToGrid w:val="0"/>
        <w:spacing w:line="400" w:lineRule="exact"/>
        <w:ind w:firstLine="482" w:firstLineChars="201"/>
        <w:jc w:val="left"/>
        <w:rPr>
          <w:rFonts w:ascii="宋体" w:hAnsi="宋体" w:cs="宋体"/>
          <w:sz w:val="24"/>
        </w:rPr>
      </w:pPr>
      <w:r>
        <w:rPr>
          <w:rFonts w:hint="eastAsia" w:ascii="宋体" w:hAnsi="宋体" w:cs="宋体"/>
          <w:sz w:val="24"/>
        </w:rPr>
        <w:t>（三）计提比例。超额利润分享额不超过超额利润的30%，具体计提比例在年度目标责任书中明确。</w:t>
      </w:r>
    </w:p>
    <w:p>
      <w:pPr>
        <w:adjustRightInd w:val="0"/>
        <w:snapToGrid w:val="0"/>
        <w:spacing w:line="400" w:lineRule="exact"/>
        <w:ind w:firstLine="482" w:firstLineChars="201"/>
        <w:jc w:val="left"/>
        <w:rPr>
          <w:rFonts w:ascii="宋体" w:hAnsi="宋体" w:cs="宋体"/>
          <w:sz w:val="24"/>
        </w:rPr>
      </w:pPr>
      <w:r>
        <w:rPr>
          <w:rFonts w:hint="eastAsia" w:ascii="宋体" w:hAnsi="宋体" w:cs="宋体"/>
          <w:sz w:val="24"/>
        </w:rPr>
        <w:t>（四）分配原则。分配对象为企业负责人和企业连续工作1年以上的核心骨干员工；具体分配方案由公司董事会确定，其中企业负责人合计获得的超额利润分享比例不超过利润分享额的30%，主要负责人获得分享额不超过其当年基本年薪和绩效年薪总额的30%。</w:t>
      </w:r>
    </w:p>
    <w:p>
      <w:pPr>
        <w:adjustRightInd w:val="0"/>
        <w:snapToGrid w:val="0"/>
        <w:spacing w:line="400" w:lineRule="exact"/>
        <w:ind w:firstLine="482" w:firstLineChars="201"/>
        <w:jc w:val="left"/>
        <w:rPr>
          <w:rFonts w:ascii="宋体" w:hAnsi="宋体" w:cs="宋体"/>
          <w:sz w:val="24"/>
        </w:rPr>
      </w:pPr>
      <w:r>
        <w:rPr>
          <w:rFonts w:hint="eastAsia" w:ascii="宋体" w:hAnsi="宋体" w:cs="宋体"/>
          <w:sz w:val="24"/>
        </w:rPr>
        <w:t>（五）兑现方式。超额利润分享额一般采用递延方式兑现，任期内分三年兑现完毕，兑现比例依次为50%、25%、25%。三年内公司利润应保持稳健增长，若出现大幅递减（50%及以上）或亏损，视情况对上一年超额利润分享额未兑现部分进行扣减，并对已兑现部分进行追回。</w:t>
      </w:r>
    </w:p>
    <w:p>
      <w:pPr>
        <w:adjustRightInd w:val="0"/>
        <w:snapToGrid w:val="0"/>
        <w:spacing w:line="400" w:lineRule="exact"/>
        <w:ind w:firstLine="482" w:firstLineChars="201"/>
        <w:jc w:val="left"/>
        <w:rPr>
          <w:rFonts w:ascii="宋体" w:hAnsi="宋体" w:cs="宋体"/>
          <w:sz w:val="24"/>
        </w:rPr>
      </w:pPr>
      <w:r>
        <w:rPr>
          <w:rFonts w:hint="eastAsia" w:ascii="宋体" w:hAnsi="宋体" w:cs="宋体"/>
          <w:sz w:val="24"/>
        </w:rPr>
        <w:t>当年出现利润目标未完成或大幅递减的，次年的超额利润要补足前一年的目标利润后，再进行超额利润分享。</w:t>
      </w:r>
    </w:p>
    <w:p>
      <w:pPr>
        <w:adjustRightInd w:val="0"/>
        <w:snapToGrid w:val="0"/>
        <w:spacing w:line="400" w:lineRule="exact"/>
        <w:ind w:firstLine="484" w:firstLineChars="201"/>
        <w:jc w:val="left"/>
        <w:rPr>
          <w:rFonts w:ascii="宋体" w:hAnsi="宋体" w:cs="宋体"/>
          <w:sz w:val="24"/>
        </w:rPr>
      </w:pPr>
      <w:r>
        <w:rPr>
          <w:rFonts w:hint="eastAsia" w:ascii="宋体" w:hAnsi="宋体" w:cs="宋体"/>
          <w:b/>
          <w:sz w:val="24"/>
        </w:rPr>
        <w:t>第二十一条</w:t>
      </w:r>
      <w:r>
        <w:rPr>
          <w:rFonts w:hint="eastAsia" w:ascii="宋体" w:hAnsi="宋体" w:cs="宋体"/>
          <w:sz w:val="24"/>
        </w:rPr>
        <w:t xml:space="preserve"> 股权激励</w:t>
      </w:r>
    </w:p>
    <w:p>
      <w:pPr>
        <w:adjustRightInd w:val="0"/>
        <w:snapToGrid w:val="0"/>
        <w:spacing w:line="400" w:lineRule="exact"/>
        <w:ind w:firstLine="482" w:firstLineChars="201"/>
        <w:jc w:val="left"/>
        <w:rPr>
          <w:rFonts w:ascii="宋体" w:hAnsi="宋体" w:cs="宋体"/>
          <w:sz w:val="24"/>
        </w:rPr>
      </w:pPr>
      <w:r>
        <w:rPr>
          <w:rFonts w:hint="eastAsia" w:ascii="宋体" w:hAnsi="宋体" w:cs="宋体"/>
          <w:sz w:val="24"/>
        </w:rPr>
        <w:t>企业在具备条件时，可推行股权激励计划，股权激励计划经逐级审批后执行。</w:t>
      </w:r>
    </w:p>
    <w:p>
      <w:pPr>
        <w:adjustRightInd w:val="0"/>
        <w:snapToGrid w:val="0"/>
        <w:spacing w:line="400" w:lineRule="exact"/>
        <w:ind w:firstLine="484" w:firstLineChars="201"/>
        <w:jc w:val="left"/>
        <w:rPr>
          <w:rFonts w:ascii="宋体" w:hAnsi="宋体" w:cs="宋体"/>
          <w:sz w:val="24"/>
        </w:rPr>
      </w:pPr>
      <w:r>
        <w:rPr>
          <w:rFonts w:hint="eastAsia" w:ascii="宋体" w:hAnsi="宋体" w:cs="宋体"/>
          <w:b/>
          <w:sz w:val="24"/>
        </w:rPr>
        <w:t>第二十二条</w:t>
      </w:r>
      <w:r>
        <w:rPr>
          <w:rFonts w:hint="eastAsia" w:ascii="宋体" w:hAnsi="宋体" w:cs="宋体"/>
          <w:sz w:val="24"/>
        </w:rPr>
        <w:t xml:space="preserve"> 中长期激励退出条件。激励对象出现下列情况之一，不得参与当期中长期激励兑现，以前年度递延支付部分，不再支付：</w:t>
      </w:r>
    </w:p>
    <w:p>
      <w:pPr>
        <w:adjustRightInd w:val="0"/>
        <w:snapToGrid w:val="0"/>
        <w:spacing w:line="400" w:lineRule="exact"/>
        <w:ind w:firstLine="482" w:firstLineChars="201"/>
        <w:jc w:val="left"/>
        <w:rPr>
          <w:rFonts w:ascii="宋体" w:hAnsi="宋体" w:cs="宋体"/>
          <w:sz w:val="24"/>
        </w:rPr>
      </w:pPr>
      <w:r>
        <w:rPr>
          <w:rFonts w:hint="eastAsia" w:ascii="宋体" w:hAnsi="宋体" w:cs="宋体"/>
          <w:sz w:val="24"/>
        </w:rPr>
        <w:t>（一）个人年度（任期）经营业绩考核结果未达到最低分数要求或年度（任期）考核评价结果为不称职的。</w:t>
      </w:r>
    </w:p>
    <w:p>
      <w:pPr>
        <w:adjustRightInd w:val="0"/>
        <w:snapToGrid w:val="0"/>
        <w:spacing w:line="400" w:lineRule="exact"/>
        <w:ind w:firstLine="482" w:firstLineChars="201"/>
        <w:jc w:val="left"/>
        <w:rPr>
          <w:rFonts w:ascii="宋体" w:hAnsi="宋体" w:cs="宋体"/>
          <w:sz w:val="24"/>
        </w:rPr>
      </w:pPr>
      <w:r>
        <w:rPr>
          <w:rFonts w:hint="eastAsia" w:ascii="宋体" w:hAnsi="宋体" w:cs="宋体"/>
          <w:sz w:val="24"/>
        </w:rPr>
        <w:t>（二）受到党纪政务处分的。</w:t>
      </w:r>
    </w:p>
    <w:p>
      <w:pPr>
        <w:adjustRightInd w:val="0"/>
        <w:snapToGrid w:val="0"/>
        <w:spacing w:line="400" w:lineRule="exact"/>
        <w:ind w:firstLine="482" w:firstLineChars="201"/>
        <w:jc w:val="left"/>
        <w:rPr>
          <w:rFonts w:ascii="宋体" w:hAnsi="宋体" w:cs="宋体"/>
          <w:sz w:val="24"/>
        </w:rPr>
      </w:pPr>
      <w:r>
        <w:rPr>
          <w:rFonts w:hint="eastAsia" w:ascii="宋体" w:hAnsi="宋体" w:cs="宋体"/>
          <w:sz w:val="24"/>
        </w:rPr>
        <w:t>（三）对重大决策失误、重大资产损失、重大安全事故等负有责任的。</w:t>
      </w:r>
    </w:p>
    <w:p>
      <w:pPr>
        <w:adjustRightInd w:val="0"/>
        <w:snapToGrid w:val="0"/>
        <w:spacing w:line="400" w:lineRule="exact"/>
        <w:ind w:firstLine="482" w:firstLineChars="201"/>
        <w:jc w:val="left"/>
        <w:rPr>
          <w:rFonts w:ascii="宋体" w:hAnsi="宋体" w:cs="宋体"/>
          <w:sz w:val="24"/>
        </w:rPr>
      </w:pPr>
      <w:r>
        <w:rPr>
          <w:rFonts w:hint="eastAsia" w:ascii="宋体" w:hAnsi="宋体" w:cs="宋体"/>
          <w:sz w:val="24"/>
        </w:rPr>
        <w:t>（四）本人提出离职或个人原因被解聘、解除劳动合同的。</w:t>
      </w:r>
    </w:p>
    <w:p>
      <w:pPr>
        <w:adjustRightInd w:val="0"/>
        <w:snapToGrid w:val="0"/>
        <w:spacing w:line="400" w:lineRule="exact"/>
        <w:ind w:firstLine="482" w:firstLineChars="201"/>
        <w:jc w:val="left"/>
        <w:rPr>
          <w:rFonts w:ascii="宋体" w:hAnsi="宋体" w:cs="宋体"/>
          <w:sz w:val="24"/>
        </w:rPr>
      </w:pPr>
      <w:r>
        <w:rPr>
          <w:rFonts w:hint="eastAsia" w:ascii="宋体" w:hAnsi="宋体" w:cs="宋体"/>
          <w:sz w:val="24"/>
        </w:rPr>
        <w:t>（五）董事会认定的其他情形。</w:t>
      </w:r>
    </w:p>
    <w:p>
      <w:pPr>
        <w:adjustRightInd w:val="0"/>
        <w:snapToGrid w:val="0"/>
        <w:spacing w:line="400" w:lineRule="exact"/>
        <w:ind w:firstLine="484" w:firstLineChars="201"/>
        <w:jc w:val="left"/>
        <w:rPr>
          <w:rFonts w:ascii="宋体" w:hAnsi="宋体" w:cs="宋体"/>
          <w:sz w:val="24"/>
        </w:rPr>
      </w:pPr>
      <w:r>
        <w:rPr>
          <w:rFonts w:hint="eastAsia" w:ascii="宋体" w:hAnsi="宋体" w:cs="宋体"/>
          <w:b/>
          <w:sz w:val="24"/>
        </w:rPr>
        <w:t>第二十三条</w:t>
      </w:r>
      <w:r>
        <w:rPr>
          <w:rFonts w:hint="eastAsia" w:ascii="宋体" w:hAnsi="宋体" w:cs="宋体"/>
          <w:sz w:val="24"/>
        </w:rPr>
        <w:t xml:space="preserve"> 特别奖励、超额利润分享原则上不同时享受。</w:t>
      </w:r>
    </w:p>
    <w:p>
      <w:pPr>
        <w:adjustRightInd w:val="0"/>
        <w:snapToGrid w:val="0"/>
        <w:spacing w:line="400" w:lineRule="exact"/>
        <w:ind w:firstLine="482" w:firstLineChars="201"/>
        <w:jc w:val="left"/>
        <w:rPr>
          <w:rFonts w:ascii="宋体" w:hAnsi="宋体" w:cs="宋体"/>
          <w:sz w:val="24"/>
        </w:rPr>
      </w:pPr>
    </w:p>
    <w:p>
      <w:pPr>
        <w:adjustRightInd w:val="0"/>
        <w:snapToGrid w:val="0"/>
        <w:spacing w:line="400" w:lineRule="exact"/>
        <w:jc w:val="center"/>
        <w:rPr>
          <w:rFonts w:ascii="黑体" w:hAnsi="黑体" w:eastAsia="黑体" w:cs="黑体"/>
          <w:bCs/>
          <w:sz w:val="24"/>
        </w:rPr>
      </w:pPr>
      <w:r>
        <w:rPr>
          <w:rFonts w:hint="eastAsia" w:ascii="黑体" w:hAnsi="黑体" w:eastAsia="黑体" w:cs="黑体"/>
          <w:bCs/>
          <w:sz w:val="24"/>
        </w:rPr>
        <w:t>第七章 福利性待遇</w:t>
      </w:r>
    </w:p>
    <w:p>
      <w:pPr>
        <w:adjustRightInd w:val="0"/>
        <w:snapToGrid w:val="0"/>
        <w:spacing w:line="400" w:lineRule="exact"/>
        <w:ind w:firstLine="484" w:firstLineChars="201"/>
        <w:jc w:val="left"/>
        <w:rPr>
          <w:rFonts w:ascii="宋体" w:hAnsi="宋体" w:cs="宋体"/>
          <w:sz w:val="24"/>
        </w:rPr>
      </w:pPr>
      <w:r>
        <w:rPr>
          <w:rFonts w:hint="eastAsia" w:ascii="宋体" w:hAnsi="宋体" w:cs="宋体"/>
          <w:b/>
          <w:sz w:val="24"/>
        </w:rPr>
        <w:t>第二十四条</w:t>
      </w:r>
      <w:r>
        <w:rPr>
          <w:rFonts w:hint="eastAsia" w:ascii="宋体" w:hAnsi="宋体" w:cs="宋体"/>
          <w:sz w:val="24"/>
        </w:rPr>
        <w:t xml:space="preserve"> 企业负责人按照国家有关规定享受五险一金，其中个人承担的部分，由公司从其薪酬中代扣代缴，公司承担部分由公司支付。</w:t>
      </w:r>
    </w:p>
    <w:p>
      <w:pPr>
        <w:adjustRightInd w:val="0"/>
        <w:snapToGrid w:val="0"/>
        <w:spacing w:line="400" w:lineRule="exact"/>
        <w:ind w:firstLine="484" w:firstLineChars="201"/>
        <w:jc w:val="left"/>
        <w:rPr>
          <w:rFonts w:ascii="宋体" w:hAnsi="宋体" w:cs="宋体"/>
          <w:sz w:val="24"/>
        </w:rPr>
      </w:pPr>
      <w:r>
        <w:rPr>
          <w:rFonts w:hint="eastAsia" w:ascii="宋体" w:hAnsi="宋体" w:cs="宋体"/>
          <w:b/>
          <w:sz w:val="24"/>
        </w:rPr>
        <w:t>第二十五条</w:t>
      </w:r>
      <w:r>
        <w:rPr>
          <w:rFonts w:hint="eastAsia" w:ascii="宋体" w:hAnsi="宋体" w:cs="宋体"/>
          <w:sz w:val="24"/>
        </w:rPr>
        <w:t xml:space="preserve"> 公司为企业负责人缴存住房公积金比例最高不得超过缴存基数的12%，缴存基数最高不得超过市统计部门公布的上一年度职工月平均工资的 3 倍。个人承担部分与公司承担部分金额相同。</w:t>
      </w:r>
    </w:p>
    <w:p>
      <w:pPr>
        <w:adjustRightInd w:val="0"/>
        <w:snapToGrid w:val="0"/>
        <w:spacing w:line="400" w:lineRule="exact"/>
        <w:ind w:firstLine="484" w:firstLineChars="201"/>
        <w:jc w:val="left"/>
        <w:rPr>
          <w:rFonts w:ascii="宋体" w:hAnsi="宋体" w:cs="宋体"/>
          <w:sz w:val="24"/>
        </w:rPr>
      </w:pPr>
      <w:r>
        <w:rPr>
          <w:rFonts w:hint="eastAsia" w:ascii="宋体" w:hAnsi="宋体" w:cs="宋体"/>
          <w:b/>
          <w:sz w:val="24"/>
        </w:rPr>
        <w:t>第二十六条</w:t>
      </w:r>
      <w:r>
        <w:rPr>
          <w:rFonts w:hint="eastAsia" w:ascii="宋体" w:hAnsi="宋体" w:cs="宋体"/>
          <w:sz w:val="24"/>
        </w:rPr>
        <w:t xml:space="preserve"> 公司不再为企业负责人购买商业性补充养老保险。</w:t>
      </w:r>
    </w:p>
    <w:p>
      <w:pPr>
        <w:adjustRightInd w:val="0"/>
        <w:snapToGrid w:val="0"/>
        <w:spacing w:line="400" w:lineRule="exact"/>
        <w:ind w:firstLine="487" w:firstLineChars="202"/>
        <w:jc w:val="left"/>
        <w:rPr>
          <w:rFonts w:ascii="宋体" w:hAnsi="宋体" w:cs="宋体"/>
          <w:sz w:val="24"/>
        </w:rPr>
      </w:pPr>
      <w:r>
        <w:rPr>
          <w:rFonts w:hint="eastAsia" w:ascii="宋体" w:hAnsi="宋体" w:cs="宋体"/>
          <w:b/>
          <w:sz w:val="24"/>
        </w:rPr>
        <w:t>第二十七条</w:t>
      </w:r>
      <w:r>
        <w:rPr>
          <w:rFonts w:hint="eastAsia" w:ascii="宋体" w:hAnsi="宋体" w:cs="宋体"/>
          <w:sz w:val="24"/>
        </w:rPr>
        <w:t xml:space="preserve"> 企业负责人年度薪酬和中长期激励薪酬均为税前收入，公司应依法为企业负责人代扣代缴个人所得税。</w:t>
      </w:r>
    </w:p>
    <w:p>
      <w:pPr>
        <w:adjustRightInd w:val="0"/>
        <w:snapToGrid w:val="0"/>
        <w:spacing w:line="400" w:lineRule="exact"/>
        <w:ind w:firstLine="484" w:firstLineChars="202"/>
        <w:jc w:val="left"/>
        <w:rPr>
          <w:rFonts w:ascii="宋体" w:hAnsi="宋体" w:cs="宋体"/>
          <w:sz w:val="24"/>
        </w:rPr>
      </w:pPr>
    </w:p>
    <w:p>
      <w:pPr>
        <w:adjustRightInd w:val="0"/>
        <w:snapToGrid w:val="0"/>
        <w:spacing w:line="400" w:lineRule="exact"/>
        <w:jc w:val="center"/>
        <w:rPr>
          <w:rFonts w:ascii="黑体" w:hAnsi="黑体" w:eastAsia="黑体" w:cs="黑体"/>
          <w:bCs/>
          <w:sz w:val="24"/>
        </w:rPr>
      </w:pPr>
      <w:r>
        <w:rPr>
          <w:rFonts w:hint="eastAsia" w:ascii="黑体" w:hAnsi="黑体" w:eastAsia="黑体" w:cs="黑体"/>
          <w:bCs/>
          <w:sz w:val="24"/>
        </w:rPr>
        <w:t>第八章 监督与管理</w:t>
      </w:r>
    </w:p>
    <w:p>
      <w:pPr>
        <w:adjustRightInd w:val="0"/>
        <w:snapToGrid w:val="0"/>
        <w:spacing w:line="400" w:lineRule="exact"/>
        <w:ind w:firstLine="487" w:firstLineChars="202"/>
        <w:jc w:val="left"/>
        <w:rPr>
          <w:rFonts w:ascii="宋体" w:hAnsi="宋体" w:cs="宋体"/>
          <w:sz w:val="24"/>
        </w:rPr>
      </w:pPr>
      <w:r>
        <w:rPr>
          <w:rFonts w:hint="eastAsia" w:ascii="宋体" w:hAnsi="宋体" w:cs="宋体"/>
          <w:b/>
          <w:sz w:val="24"/>
        </w:rPr>
        <w:t>第二十八条</w:t>
      </w:r>
      <w:r>
        <w:rPr>
          <w:rFonts w:hint="eastAsia" w:ascii="宋体" w:hAnsi="宋体" w:cs="宋体"/>
          <w:sz w:val="24"/>
        </w:rPr>
        <w:t xml:space="preserve"> 企业负责人除领取董事会认定的薪酬外，不得在公司领取津补贴、过节费、加班费等其他货币性收入。</w:t>
      </w:r>
    </w:p>
    <w:p>
      <w:pPr>
        <w:adjustRightInd w:val="0"/>
        <w:snapToGrid w:val="0"/>
        <w:spacing w:line="400" w:lineRule="exact"/>
        <w:ind w:firstLine="487" w:firstLineChars="202"/>
        <w:jc w:val="left"/>
        <w:rPr>
          <w:rFonts w:ascii="宋体" w:hAnsi="宋体" w:cs="宋体"/>
          <w:sz w:val="24"/>
        </w:rPr>
      </w:pPr>
      <w:r>
        <w:rPr>
          <w:rFonts w:hint="eastAsia" w:ascii="宋体" w:hAnsi="宋体" w:cs="宋体"/>
          <w:b/>
          <w:sz w:val="24"/>
        </w:rPr>
        <w:t>第二十九条</w:t>
      </w:r>
      <w:r>
        <w:rPr>
          <w:rFonts w:hint="eastAsia" w:ascii="宋体" w:hAnsi="宋体" w:cs="宋体"/>
          <w:sz w:val="24"/>
        </w:rPr>
        <w:t xml:space="preserve"> 企业负责人因岗位调动、退休、工伤、丧失民事行为能力、死亡等客观原因与公司解除或终止劳动关系，按其在岗任职时间兑现年度薪酬和中长期激励，以前年度未兑现部分，按递延支付相关安排予以支付。</w:t>
      </w:r>
    </w:p>
    <w:p>
      <w:pPr>
        <w:adjustRightInd w:val="0"/>
        <w:snapToGrid w:val="0"/>
        <w:spacing w:line="400" w:lineRule="exact"/>
        <w:ind w:firstLine="487" w:firstLineChars="202"/>
        <w:jc w:val="left"/>
        <w:rPr>
          <w:rFonts w:ascii="宋体" w:hAnsi="宋体" w:cs="宋体"/>
          <w:sz w:val="24"/>
        </w:rPr>
      </w:pPr>
      <w:r>
        <w:rPr>
          <w:rFonts w:hint="eastAsia" w:ascii="宋体" w:hAnsi="宋体" w:cs="宋体"/>
          <w:b/>
          <w:sz w:val="24"/>
        </w:rPr>
        <w:t>第三十条</w:t>
      </w:r>
      <w:r>
        <w:rPr>
          <w:rFonts w:hint="eastAsia" w:ascii="宋体" w:hAnsi="宋体" w:cs="宋体"/>
          <w:sz w:val="24"/>
        </w:rPr>
        <w:t xml:space="preserve"> 企业负责人受到党纪政务处分的，薪酬扣减按照国家有关规定执行。</w:t>
      </w:r>
    </w:p>
    <w:p>
      <w:pPr>
        <w:adjustRightInd w:val="0"/>
        <w:snapToGrid w:val="0"/>
        <w:spacing w:line="400" w:lineRule="exact"/>
        <w:ind w:firstLine="487" w:firstLineChars="202"/>
        <w:jc w:val="left"/>
        <w:rPr>
          <w:rFonts w:ascii="宋体" w:hAnsi="宋体" w:cs="宋体"/>
          <w:sz w:val="24"/>
        </w:rPr>
      </w:pPr>
      <w:r>
        <w:rPr>
          <w:rFonts w:hint="eastAsia" w:ascii="宋体" w:hAnsi="宋体" w:cs="宋体"/>
          <w:b/>
          <w:sz w:val="24"/>
        </w:rPr>
        <w:t>第三十一条</w:t>
      </w:r>
      <w:r>
        <w:rPr>
          <w:rFonts w:hint="eastAsia" w:ascii="宋体" w:hAnsi="宋体" w:cs="宋体"/>
          <w:sz w:val="24"/>
        </w:rPr>
        <w:t xml:space="preserve"> 企业负责人薪酬在财务统计中单列科目，单独核算并设置明细账目、企业负责人薪酬计入公司工资总额，在公司成本中列支，并在工资统计中单列。</w:t>
      </w:r>
    </w:p>
    <w:p>
      <w:pPr>
        <w:adjustRightInd w:val="0"/>
        <w:snapToGrid w:val="0"/>
        <w:spacing w:line="400" w:lineRule="exact"/>
        <w:jc w:val="center"/>
        <w:rPr>
          <w:rFonts w:ascii="宋体" w:hAnsi="宋体" w:cs="宋体"/>
          <w:b/>
          <w:sz w:val="24"/>
        </w:rPr>
      </w:pPr>
    </w:p>
    <w:p>
      <w:pPr>
        <w:adjustRightInd w:val="0"/>
        <w:snapToGrid w:val="0"/>
        <w:spacing w:line="400" w:lineRule="exact"/>
        <w:jc w:val="center"/>
        <w:rPr>
          <w:rFonts w:ascii="黑体" w:hAnsi="黑体" w:eastAsia="黑体" w:cs="黑体"/>
          <w:bCs/>
          <w:sz w:val="24"/>
        </w:rPr>
      </w:pPr>
      <w:r>
        <w:rPr>
          <w:rFonts w:hint="eastAsia" w:ascii="黑体" w:hAnsi="黑体" w:eastAsia="黑体" w:cs="黑体"/>
          <w:bCs/>
          <w:sz w:val="24"/>
        </w:rPr>
        <w:t>第九章 附则</w:t>
      </w:r>
    </w:p>
    <w:p>
      <w:pPr>
        <w:adjustRightInd w:val="0"/>
        <w:snapToGrid w:val="0"/>
        <w:spacing w:line="400" w:lineRule="exact"/>
        <w:ind w:firstLine="487" w:firstLineChars="202"/>
        <w:jc w:val="left"/>
        <w:rPr>
          <w:rFonts w:ascii="宋体" w:hAnsi="宋体" w:cs="宋体"/>
          <w:sz w:val="24"/>
        </w:rPr>
      </w:pPr>
      <w:r>
        <w:rPr>
          <w:rFonts w:hint="eastAsia" w:ascii="宋体" w:hAnsi="宋体" w:cs="宋体"/>
          <w:b/>
          <w:sz w:val="24"/>
        </w:rPr>
        <w:t>第三十二条</w:t>
      </w:r>
      <w:r>
        <w:rPr>
          <w:rFonts w:hint="eastAsia" w:ascii="宋体" w:hAnsi="宋体" w:cs="宋体"/>
          <w:sz w:val="24"/>
        </w:rPr>
        <w:t xml:space="preserve"> 本办法未尽事宜，按照国家相关政策及监管部门相关规定执行。</w:t>
      </w:r>
    </w:p>
    <w:p>
      <w:pPr>
        <w:adjustRightInd w:val="0"/>
        <w:snapToGrid w:val="0"/>
        <w:spacing w:line="400" w:lineRule="exact"/>
        <w:ind w:firstLine="487" w:firstLineChars="202"/>
        <w:jc w:val="left"/>
        <w:rPr>
          <w:rFonts w:hAnsi="宋体"/>
        </w:rPr>
      </w:pPr>
      <w:r>
        <w:rPr>
          <w:rFonts w:hint="eastAsia" w:ascii="宋体" w:hAnsi="宋体" w:cs="宋体"/>
          <w:b/>
          <w:sz w:val="24"/>
        </w:rPr>
        <w:t>第三十三条</w:t>
      </w:r>
      <w:r>
        <w:rPr>
          <w:rFonts w:hint="eastAsia" w:ascii="宋体" w:hAnsi="宋体" w:cs="宋体"/>
          <w:sz w:val="24"/>
        </w:rPr>
        <w:t xml:space="preserve"> 本办法自2022年1月1日起执行，原《中百控股集团股份有限公司经营者薪酬管理办法》《中百控股集团股份有限公司经营层薪酬管理办法（试行）》同时废止。</w:t>
      </w:r>
    </w:p>
    <w:p>
      <w:pPr>
        <w:pStyle w:val="6"/>
        <w:snapToGrid w:val="0"/>
        <w:spacing w:line="360" w:lineRule="auto"/>
        <w:rPr>
          <w:rFonts w:hAnsi="宋体"/>
        </w:rPr>
      </w:pPr>
    </w:p>
    <w:p>
      <w:pPr>
        <w:pStyle w:val="6"/>
        <w:snapToGrid w:val="0"/>
        <w:spacing w:line="360" w:lineRule="auto"/>
        <w:rPr>
          <w:rFonts w:hAnsi="宋体"/>
        </w:rPr>
      </w:pPr>
    </w:p>
    <w:p>
      <w:pPr>
        <w:pStyle w:val="6"/>
        <w:snapToGrid w:val="0"/>
        <w:spacing w:line="360" w:lineRule="auto"/>
        <w:rPr>
          <w:rFonts w:hAnsi="宋体"/>
        </w:rPr>
      </w:pPr>
    </w:p>
    <w:p>
      <w:pPr>
        <w:pStyle w:val="6"/>
        <w:snapToGrid w:val="0"/>
        <w:spacing w:line="360" w:lineRule="auto"/>
        <w:rPr>
          <w:rFonts w:hAnsi="宋体"/>
        </w:rPr>
      </w:pPr>
    </w:p>
    <w:p>
      <w:pPr>
        <w:pStyle w:val="6"/>
        <w:snapToGrid w:val="0"/>
        <w:spacing w:line="360" w:lineRule="auto"/>
        <w:rPr>
          <w:rFonts w:hAnsi="宋体"/>
        </w:rPr>
      </w:pPr>
    </w:p>
    <w:p>
      <w:pPr>
        <w:pStyle w:val="6"/>
        <w:snapToGrid w:val="0"/>
        <w:spacing w:line="360" w:lineRule="auto"/>
        <w:rPr>
          <w:rFonts w:hAnsi="宋体"/>
        </w:rPr>
      </w:pPr>
    </w:p>
    <w:p>
      <w:pPr>
        <w:pStyle w:val="6"/>
        <w:snapToGrid w:val="0"/>
        <w:spacing w:line="360" w:lineRule="auto"/>
        <w:rPr>
          <w:rFonts w:hAnsi="宋体"/>
        </w:rPr>
      </w:pPr>
    </w:p>
    <w:p>
      <w:pPr>
        <w:pStyle w:val="6"/>
        <w:snapToGrid w:val="0"/>
        <w:spacing w:line="360" w:lineRule="auto"/>
        <w:rPr>
          <w:rFonts w:hAnsi="宋体"/>
        </w:rPr>
      </w:pPr>
    </w:p>
    <w:p>
      <w:pPr>
        <w:pStyle w:val="6"/>
        <w:snapToGrid w:val="0"/>
        <w:spacing w:line="360" w:lineRule="auto"/>
        <w:rPr>
          <w:rFonts w:hAnsi="宋体"/>
        </w:rPr>
      </w:pPr>
    </w:p>
    <w:p>
      <w:pPr>
        <w:pStyle w:val="6"/>
        <w:snapToGrid w:val="0"/>
        <w:spacing w:line="360" w:lineRule="auto"/>
        <w:rPr>
          <w:rFonts w:hAnsi="宋体"/>
        </w:rPr>
      </w:pPr>
    </w:p>
    <w:p>
      <w:pPr>
        <w:pStyle w:val="6"/>
        <w:snapToGrid w:val="0"/>
        <w:spacing w:line="360" w:lineRule="auto"/>
        <w:rPr>
          <w:rFonts w:hAnsi="宋体"/>
        </w:rPr>
      </w:pPr>
    </w:p>
    <w:p>
      <w:pPr>
        <w:pStyle w:val="6"/>
        <w:snapToGrid w:val="0"/>
        <w:spacing w:line="360" w:lineRule="auto"/>
        <w:rPr>
          <w:rFonts w:hAnsi="宋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9174AE"/>
    <w:multiLevelType w:val="singleLevel"/>
    <w:tmpl w:val="949174A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D233B"/>
    <w:rsid w:val="00202A5B"/>
    <w:rsid w:val="003624FC"/>
    <w:rsid w:val="006D233B"/>
    <w:rsid w:val="00953AAA"/>
    <w:rsid w:val="68C145A7"/>
    <w:rsid w:val="6DDB7AD7"/>
    <w:rsid w:val="7A164971"/>
    <w:rsid w:val="7E4A42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7">
    <w:name w:val="页眉 Char"/>
    <w:basedOn w:val="4"/>
    <w:link w:val="3"/>
    <w:qFormat/>
    <w:uiPriority w:val="0"/>
    <w:rPr>
      <w:kern w:val="2"/>
      <w:sz w:val="18"/>
      <w:szCs w:val="18"/>
    </w:rPr>
  </w:style>
  <w:style w:type="character" w:customStyle="1" w:styleId="8">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663</Words>
  <Characters>3784</Characters>
  <Lines>31</Lines>
  <Paragraphs>8</Paragraphs>
  <TotalTime>1</TotalTime>
  <ScaleCrop>false</ScaleCrop>
  <LinksUpToDate>false</LinksUpToDate>
  <CharactersWithSpaces>4439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2021-10-21T08:30:00Z</dcterms:created>
  <dc:creator>zbkgjt</dc:creator>
  <cp:lastModifiedBy>王茂</cp:lastModifiedBy>
  <cp:lastPrinted>2021-10-25T06:16:00Z</cp:lastPrinted>
  <dcterms:modified xsi:type="dcterms:W3CDTF">2021-10-28T09:51:13Z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