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Lucida Console"/>
          <w:sz w:val="24"/>
        </w:rPr>
      </w:pPr>
      <w:r>
        <w:rPr>
          <w:rFonts w:hint="eastAsia"/>
          <w:kern w:val="0"/>
          <w:sz w:val="24"/>
        </w:rPr>
        <w:t>证券代码：</w:t>
      </w:r>
      <w:r>
        <w:rPr>
          <w:kern w:val="0"/>
          <w:sz w:val="24"/>
        </w:rPr>
        <w:t xml:space="preserve">000759        </w:t>
      </w:r>
      <w:r>
        <w:rPr>
          <w:rFonts w:hint="eastAsia"/>
          <w:kern w:val="0"/>
          <w:sz w:val="24"/>
        </w:rPr>
        <w:t>证券简称：中百集团</w:t>
      </w:r>
      <w:r>
        <w:rPr>
          <w:kern w:val="0"/>
          <w:sz w:val="24"/>
        </w:rPr>
        <w:t xml:space="preserve">        </w:t>
      </w:r>
      <w:r>
        <w:rPr>
          <w:rFonts w:hint="eastAsia"/>
          <w:kern w:val="0"/>
          <w:sz w:val="24"/>
        </w:rPr>
        <w:t>公告编号：</w:t>
      </w:r>
      <w:r>
        <w:rPr>
          <w:kern w:val="0"/>
          <w:sz w:val="24"/>
        </w:rPr>
        <w:t>20</w:t>
      </w:r>
      <w:r>
        <w:rPr>
          <w:rFonts w:hint="eastAsia"/>
          <w:kern w:val="0"/>
          <w:sz w:val="24"/>
        </w:rPr>
        <w:t>22-024</w:t>
      </w:r>
    </w:p>
    <w:p>
      <w:pPr>
        <w:adjustRightInd w:val="0"/>
        <w:snapToGrid w:val="0"/>
        <w:jc w:val="center"/>
        <w:rPr>
          <w:rStyle w:val="13"/>
          <w:rFonts w:ascii="仿宋_GB2312" w:hAnsi="Lucida Console" w:eastAsia="仿宋_GB2312"/>
          <w:sz w:val="18"/>
          <w:szCs w:val="18"/>
        </w:rPr>
      </w:pPr>
    </w:p>
    <w:p>
      <w:pPr>
        <w:pStyle w:val="9"/>
        <w:adjustRightInd w:val="0"/>
        <w:snapToGrid w:val="0"/>
        <w:spacing w:before="0" w:beforeAutospacing="0" w:after="0" w:afterAutospacing="0"/>
        <w:ind w:right="178" w:rightChars="85"/>
        <w:jc w:val="center"/>
        <w:rPr>
          <w:rStyle w:val="13"/>
          <w:rFonts w:ascii="Times New Roman" w:hAnsi="Times New Roman" w:eastAsia="黑体" w:cs="Times New Roman"/>
          <w:color w:val="auto"/>
          <w:sz w:val="36"/>
          <w:szCs w:val="36"/>
        </w:rPr>
      </w:pPr>
      <w:r>
        <w:rPr>
          <w:rStyle w:val="13"/>
          <w:rFonts w:hint="eastAsia" w:ascii="Times New Roman" w:hAnsi="Times New Roman" w:eastAsia="黑体" w:cs="Times New Roman"/>
          <w:color w:val="auto"/>
          <w:sz w:val="36"/>
          <w:szCs w:val="36"/>
        </w:rPr>
        <w:t>中百控股集团股份有限公司</w:t>
      </w:r>
    </w:p>
    <w:p>
      <w:pPr>
        <w:pStyle w:val="9"/>
        <w:adjustRightInd w:val="0"/>
        <w:snapToGrid w:val="0"/>
        <w:spacing w:before="0" w:beforeAutospacing="0" w:after="0" w:afterAutospacing="0"/>
        <w:ind w:right="178" w:rightChars="85"/>
        <w:jc w:val="center"/>
        <w:rPr>
          <w:rStyle w:val="13"/>
          <w:rFonts w:ascii="Times New Roman" w:hAnsi="Times New Roman" w:eastAsia="黑体" w:cs="Times New Roman"/>
          <w:color w:val="auto"/>
          <w:sz w:val="36"/>
          <w:szCs w:val="36"/>
        </w:rPr>
      </w:pPr>
      <w:r>
        <w:rPr>
          <w:rStyle w:val="13"/>
          <w:rFonts w:hint="eastAsia" w:ascii="Times New Roman" w:hAnsi="Times New Roman" w:eastAsia="黑体" w:cs="Times New Roman"/>
          <w:color w:val="auto"/>
          <w:sz w:val="36"/>
          <w:szCs w:val="36"/>
        </w:rPr>
        <w:t>关于筹划股权激励计划的提示性公告</w:t>
      </w:r>
    </w:p>
    <w:p>
      <w:pPr>
        <w:pStyle w:val="14"/>
        <w:snapToGrid w:val="0"/>
        <w:jc w:val="center"/>
        <w:rPr>
          <w:rStyle w:val="15"/>
          <w:rFonts w:hAnsi="黑体"/>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14"/>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中百控股集团股份有限公司（以下简称“公司”）为进一步建立健全公司长效激励机制，充分调动公司各级管理人员和核心骨干员工的积极性，将股东利益、公司利益和员工个人利益结合在一起，促进公司长期、持续、健康发展，根据《公司法》《证券法》《上市公司股权激励管理办法》《国有控股上市公司（境内）实施股权激励试行办法》等有关法律、法规和规范性文件以及《公司章程》的规定，拟筹划推出限制性股票激励计划（以下简称“激励计划”）事项。现将其主要内容及相关事项提示性公告如下：</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一、激励计划的形式及来源</w:t>
      </w:r>
    </w:p>
    <w:p>
      <w:pPr>
        <w:pStyle w:val="2"/>
        <w:adjustRightInd w:val="0"/>
        <w:spacing w:after="0" w:line="360" w:lineRule="auto"/>
        <w:ind w:firstLine="480" w:firstLineChars="200"/>
        <w:rPr>
          <w:rFonts w:asciiTheme="minorEastAsia" w:hAnsiTheme="minorEastAsia" w:eastAsiaTheme="minorEastAsia"/>
        </w:rPr>
      </w:pPr>
      <w:r>
        <w:rPr>
          <w:rFonts w:hint="eastAsia" w:asciiTheme="minorEastAsia" w:hAnsiTheme="minorEastAsia" w:eastAsiaTheme="minorEastAsia"/>
        </w:rPr>
        <w:t>经初步研究，本次激励计划拟采用限制性股票激励形式。股票来源为公司从二级市场回购的本公司人民币A股普通股股票。</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二、激励计划所涉及的标的股票数量</w:t>
      </w:r>
    </w:p>
    <w:p>
      <w:pPr>
        <w:pStyle w:val="2"/>
        <w:adjustRightInd w:val="0"/>
        <w:spacing w:after="0" w:line="360" w:lineRule="auto"/>
        <w:ind w:firstLine="480" w:firstLineChars="200"/>
        <w:rPr>
          <w:rFonts w:asciiTheme="minorEastAsia" w:hAnsiTheme="minorEastAsia" w:eastAsiaTheme="minorEastAsia"/>
        </w:rPr>
      </w:pPr>
      <w:r>
        <w:rPr>
          <w:rFonts w:hint="eastAsia" w:asciiTheme="minorEastAsia" w:hAnsiTheme="minorEastAsia" w:eastAsiaTheme="minorEastAsia"/>
        </w:rPr>
        <w:t>本次激励计划拟向激励对象授予总计不超过24,992,014股限制性股票，约占公司目前总股本681,021,500股的3.67%。</w:t>
      </w:r>
    </w:p>
    <w:p>
      <w:pPr>
        <w:pStyle w:val="2"/>
        <w:adjustRightInd w:val="0"/>
        <w:spacing w:after="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公司全部有效期内股权激励计划所涉及的标的股票总数不超过公司股本总额的10%。激励计划中任何一名激励对象通过全部有效期内的股权激励计划获授的公司股票数量不超过公司股本总额的1%。本次股权激励计划的具体激励规模，待公司董事会讨论确定后，在后续的激励计划草案中予以明确。</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三、本次股权激励计划的激励对象</w:t>
      </w:r>
    </w:p>
    <w:p>
      <w:pPr>
        <w:pStyle w:val="2"/>
        <w:adjustRightInd w:val="0"/>
        <w:spacing w:after="0" w:line="360" w:lineRule="auto"/>
        <w:ind w:firstLine="480" w:firstLineChars="200"/>
        <w:rPr>
          <w:rFonts w:asciiTheme="minorEastAsia" w:hAnsiTheme="minorEastAsia" w:eastAsiaTheme="minorEastAsia"/>
        </w:rPr>
      </w:pPr>
      <w:r>
        <w:rPr>
          <w:rFonts w:hint="eastAsia" w:asciiTheme="minorEastAsia" w:hAnsiTheme="minorEastAsia" w:eastAsiaTheme="minorEastAsia"/>
        </w:rPr>
        <w:t>本次激励计划拟激励对象范围为公司董事、高级管理人员、中层管理人员及核心骨干人员，不包括独立董事、监事、单独或合计持股5%以上的股东或实际控制人及其配偶、父母、子女。具体激励对象名单、人数、激励规模、授予价格、业绩考核指标等事项，待公司董事会充分研究讨论后，在后续的激励计划草案中予以明确。</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四、激励计划尚需履行的程序、存在的不确定性和风险</w:t>
      </w:r>
    </w:p>
    <w:p>
      <w:pPr>
        <w:pStyle w:val="2"/>
        <w:adjustRightInd w:val="0"/>
        <w:spacing w:after="0" w:line="360" w:lineRule="auto"/>
        <w:ind w:firstLine="480" w:firstLineChars="200"/>
      </w:pPr>
      <w:r>
        <w:rPr>
          <w:rFonts w:hint="eastAsia"/>
        </w:rPr>
        <w:t>本次激励计划事项尚处于筹划阶段，公司将就拟激励对象人数、拟激励对象参与意愿、激励规模等事项与相关各方充分讨论沟通。鉴于此，本次筹划的激励计划事项最终是否能顺利形成激励方案存在不确定性，公司将尽快就激励计划具体方案等事项进行研究，推进相关工作进度，并严格按照有关法律法规的规定履行信息披露义务。</w:t>
      </w:r>
    </w:p>
    <w:p>
      <w:pPr>
        <w:pStyle w:val="2"/>
        <w:adjustRightInd w:val="0"/>
        <w:spacing w:after="0" w:line="360" w:lineRule="auto"/>
        <w:ind w:firstLine="480" w:firstLineChars="200"/>
      </w:pPr>
      <w:r>
        <w:rPr>
          <w:rFonts w:hint="eastAsia"/>
        </w:rPr>
        <w:t>公司本次股权激励计划相关事项尚需公司董事会薪酬与考核委员会审议、董事会审议、湖北省人民政府国有资产监督管理委员会审批、公司股东大会审议，本次激励计划能否付诸实施尚存在不确定性。</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五、预计披露股权激励计划草案的时间</w:t>
      </w:r>
    </w:p>
    <w:p>
      <w:pPr>
        <w:pStyle w:val="2"/>
        <w:adjustRightInd w:val="0"/>
        <w:spacing w:after="0" w:line="360" w:lineRule="auto"/>
        <w:ind w:firstLine="480" w:firstLineChars="200"/>
      </w:pPr>
      <w:r>
        <w:rPr>
          <w:rFonts w:hint="eastAsia"/>
        </w:rPr>
        <w:t>鉴于本次激励计划具体激励对象名单、人数、限制性股票授予价格、业绩考核指标等事项尚待公司与相关各方进行充分讨论沟通，本次筹划的激励计划事项最终是否能顺利形成激励方案存在不确定性，公司将尽快就激励计划具体方案等事项进行研究。如最终确定实施股权激励计划，公司将及时披露本次拟进行的激励计划草案。</w:t>
      </w:r>
    </w:p>
    <w:p>
      <w:pPr>
        <w:pStyle w:val="2"/>
        <w:adjustRightInd w:val="0"/>
        <w:spacing w:after="0" w:line="360" w:lineRule="auto"/>
        <w:ind w:firstLine="480" w:firstLineChars="200"/>
        <w:rPr>
          <w:rFonts w:ascii="黑体" w:hAnsi="黑体" w:eastAsia="黑体" w:cs="黑体"/>
        </w:rPr>
      </w:pPr>
      <w:r>
        <w:rPr>
          <w:rFonts w:hint="eastAsia" w:ascii="黑体" w:hAnsi="黑体" w:eastAsia="黑体" w:cs="黑体"/>
        </w:rPr>
        <w:t>六、风险提示</w:t>
      </w:r>
    </w:p>
    <w:p>
      <w:pPr>
        <w:pStyle w:val="2"/>
        <w:adjustRightInd w:val="0"/>
        <w:spacing w:after="0" w:line="360" w:lineRule="auto"/>
        <w:ind w:firstLine="480" w:firstLineChars="200"/>
      </w:pPr>
      <w:r>
        <w:rPr>
          <w:rFonts w:hint="eastAsia"/>
        </w:rPr>
        <w:t>鉴于本次股权激励事项尚处于筹划阶段，能否付诸实施尚存在不确定性，敬请广大投资者关注公司相关公告并注意投资风险。</w:t>
      </w:r>
    </w:p>
    <w:p>
      <w:pPr>
        <w:pStyle w:val="16"/>
        <w:adjustRightInd w:val="0"/>
        <w:snapToGrid w:val="0"/>
        <w:spacing w:line="360" w:lineRule="auto"/>
        <w:ind w:firstLine="480" w:firstLineChars="200"/>
        <w:rPr>
          <w:rFonts w:asciiTheme="minorEastAsia" w:hAnsiTheme="minorEastAsia"/>
          <w:sz w:val="24"/>
          <w:szCs w:val="24"/>
          <w:lang w:eastAsia="zh-CN"/>
        </w:rPr>
      </w:pPr>
      <w:r>
        <w:rPr>
          <w:rFonts w:hint="eastAsia" w:asciiTheme="minorEastAsia" w:hAnsiTheme="minorEastAsia"/>
          <w:sz w:val="24"/>
          <w:szCs w:val="24"/>
          <w:lang w:eastAsia="zh-CN"/>
        </w:rPr>
        <w:t>特此公告。</w:t>
      </w:r>
    </w:p>
    <w:p>
      <w:pPr>
        <w:pStyle w:val="5"/>
        <w:adjustRightInd w:val="0"/>
        <w:snapToGrid w:val="0"/>
        <w:spacing w:line="360" w:lineRule="auto"/>
        <w:rPr>
          <w:rFonts w:ascii="宋体" w:hAnsi="宋体" w:cs="宋体"/>
          <w:sz w:val="24"/>
          <w:szCs w:val="24"/>
        </w:rPr>
      </w:pPr>
    </w:p>
    <w:p>
      <w:pPr>
        <w:pStyle w:val="5"/>
        <w:adjustRightInd w:val="0"/>
        <w:snapToGrid w:val="0"/>
        <w:spacing w:line="360" w:lineRule="auto"/>
        <w:rPr>
          <w:rFonts w:ascii="宋体" w:hAnsi="宋体" w:cs="宋体"/>
          <w:sz w:val="24"/>
          <w:szCs w:val="24"/>
        </w:rPr>
      </w:pPr>
    </w:p>
    <w:p>
      <w:pPr>
        <w:pStyle w:val="5"/>
        <w:adjustRightInd w:val="0"/>
        <w:snapToGrid w:val="0"/>
        <w:spacing w:line="360" w:lineRule="auto"/>
        <w:rPr>
          <w:rFonts w:ascii="宋体" w:hAnsi="宋体" w:cs="宋体"/>
          <w:sz w:val="24"/>
          <w:szCs w:val="24"/>
        </w:rPr>
      </w:pPr>
    </w:p>
    <w:p>
      <w:pPr>
        <w:pStyle w:val="9"/>
        <w:adjustRightInd w:val="0"/>
        <w:snapToGrid w:val="0"/>
        <w:spacing w:before="0" w:beforeAutospacing="0" w:after="0" w:afterAutospacing="0" w:line="360" w:lineRule="auto"/>
        <w:ind w:firstLine="5280" w:firstLineChars="2200"/>
        <w:jc w:val="both"/>
        <w:rPr>
          <w:rStyle w:val="13"/>
          <w:rFonts w:cs="Times New Roman"/>
        </w:rPr>
      </w:pPr>
      <w:r>
        <w:rPr>
          <w:rStyle w:val="13"/>
          <w:rFonts w:hint="eastAsia" w:cs="Times New Roman"/>
        </w:rPr>
        <w:t>中百控股集团股份有限公司</w:t>
      </w:r>
    </w:p>
    <w:p>
      <w:pPr>
        <w:pStyle w:val="9"/>
        <w:adjustRightInd w:val="0"/>
        <w:snapToGrid w:val="0"/>
        <w:spacing w:before="0" w:beforeAutospacing="0" w:after="0" w:afterAutospacing="0" w:line="360" w:lineRule="auto"/>
        <w:ind w:firstLine="480" w:firstLineChars="200"/>
        <w:jc w:val="both"/>
        <w:rPr>
          <w:rStyle w:val="13"/>
          <w:rFonts w:cs="Times New Roman"/>
        </w:rPr>
      </w:pPr>
      <w:r>
        <w:rPr>
          <w:rStyle w:val="13"/>
          <w:rFonts w:hint="eastAsia" w:cs="Times New Roman"/>
        </w:rPr>
        <w:t xml:space="preserve">                                               董  事  会</w:t>
      </w:r>
    </w:p>
    <w:p>
      <w:pPr>
        <w:pStyle w:val="9"/>
        <w:adjustRightInd w:val="0"/>
        <w:snapToGrid w:val="0"/>
        <w:spacing w:before="0" w:beforeAutospacing="0" w:after="0" w:afterAutospacing="0" w:line="360" w:lineRule="auto"/>
        <w:ind w:firstLine="480" w:firstLineChars="200"/>
        <w:jc w:val="both"/>
        <w:rPr>
          <w:rStyle w:val="13"/>
          <w:rFonts w:cs="Times New Roman"/>
        </w:rPr>
      </w:pPr>
      <w:r>
        <w:rPr>
          <w:rStyle w:val="13"/>
          <w:rFonts w:hint="eastAsia" w:cs="Times New Roman"/>
        </w:rPr>
        <w:t xml:space="preserve">                                            2022年5月1</w:t>
      </w:r>
      <w:r>
        <w:rPr>
          <w:rStyle w:val="13"/>
          <w:rFonts w:hint="eastAsia" w:cs="Times New Roman"/>
          <w:lang w:val="en-US" w:eastAsia="zh-CN"/>
        </w:rPr>
        <w:t>3</w:t>
      </w:r>
      <w:bookmarkStart w:id="0" w:name="_GoBack"/>
      <w:bookmarkEnd w:id="0"/>
      <w:r>
        <w:rPr>
          <w:rStyle w:val="13"/>
          <w:rFonts w:hint="eastAsia" w:cs="Times New Roman"/>
        </w:rPr>
        <w:t>日</w:t>
      </w:r>
    </w:p>
    <w:p>
      <w:pPr>
        <w:pStyle w:val="5"/>
        <w:adjustRightInd w:val="0"/>
        <w:snapToGrid w:val="0"/>
        <w:spacing w:line="360" w:lineRule="auto"/>
        <w:rPr>
          <w:sz w:val="24"/>
          <w:szCs w:val="24"/>
        </w:rPr>
      </w:pPr>
    </w:p>
    <w:p>
      <w:pPr>
        <w:pStyle w:val="5"/>
        <w:adjustRightInd w:val="0"/>
        <w:snapToGrid w:val="0"/>
        <w:spacing w:line="360" w:lineRule="auto"/>
        <w:rPr>
          <w:sz w:val="24"/>
          <w:szCs w:val="24"/>
        </w:rPr>
      </w:pPr>
    </w:p>
    <w:p>
      <w:pPr>
        <w:pStyle w:val="5"/>
        <w:adjustRightInd w:val="0"/>
        <w:snapToGrid w:val="0"/>
        <w:spacing w:line="360" w:lineRule="auto"/>
        <w:rPr>
          <w:sz w:val="24"/>
          <w:szCs w:val="24"/>
        </w:rPr>
      </w:pPr>
    </w:p>
    <w:p>
      <w:pPr>
        <w:pStyle w:val="5"/>
        <w:adjustRightInd w:val="0"/>
        <w:snapToGrid w:val="0"/>
        <w:spacing w:line="360" w:lineRule="auto"/>
        <w:rPr>
          <w:sz w:val="24"/>
          <w:szCs w:val="24"/>
        </w:rPr>
      </w:pPr>
    </w:p>
    <w:p>
      <w:pPr>
        <w:pStyle w:val="2"/>
        <w:adjustRightInd w:val="0"/>
        <w:spacing w:after="0" w:line="360" w:lineRule="auto"/>
        <w:ind w:firstLine="0" w:firstLineChars="0"/>
        <w:rPr>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2YmQ2ZDI5NTY5ODZhYmZiNTg1MWIwOWQ4ZmRhOTkifQ=="/>
  </w:docVars>
  <w:rsids>
    <w:rsidRoot w:val="0063311E"/>
    <w:rsid w:val="0002478B"/>
    <w:rsid w:val="001F34D2"/>
    <w:rsid w:val="00335432"/>
    <w:rsid w:val="00377A54"/>
    <w:rsid w:val="004A6C74"/>
    <w:rsid w:val="004C4A90"/>
    <w:rsid w:val="004C64E6"/>
    <w:rsid w:val="004F345A"/>
    <w:rsid w:val="00585837"/>
    <w:rsid w:val="0063311E"/>
    <w:rsid w:val="007167CD"/>
    <w:rsid w:val="00743287"/>
    <w:rsid w:val="009F3A3B"/>
    <w:rsid w:val="00A727F9"/>
    <w:rsid w:val="00B72F6C"/>
    <w:rsid w:val="00C068A4"/>
    <w:rsid w:val="0B962B49"/>
    <w:rsid w:val="24D1160D"/>
    <w:rsid w:val="2B9413B4"/>
    <w:rsid w:val="2DF6381D"/>
    <w:rsid w:val="3CCC4CD0"/>
    <w:rsid w:val="43B51495"/>
    <w:rsid w:val="4CB84A8A"/>
    <w:rsid w:val="5DAF4A3E"/>
    <w:rsid w:val="62122F3D"/>
    <w:rsid w:val="695F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w:basedOn w:val="3"/>
    <w:next w:val="5"/>
    <w:qFormat/>
    <w:uiPriority w:val="0"/>
    <w:pPr>
      <w:snapToGrid w:val="0"/>
      <w:spacing w:line="288" w:lineRule="auto"/>
      <w:ind w:firstLine="880"/>
    </w:pPr>
    <w:rPr>
      <w:rFonts w:eastAsia="方正书宋简体"/>
      <w:sz w:val="24"/>
      <w:szCs w:val="21"/>
    </w:rPr>
  </w:style>
  <w:style w:type="paragraph" w:styleId="3">
    <w:name w:val="Body Text First Indent"/>
    <w:basedOn w:val="4"/>
    <w:unhideWhenUsed/>
    <w:qFormat/>
    <w:uiPriority w:val="0"/>
    <w:pPr>
      <w:ind w:firstLine="420" w:firstLineChars="100"/>
    </w:pPr>
    <w:rPr>
      <w:rFonts w:ascii="Calibri" w:hAnsi="Calibri"/>
      <w:szCs w:val="22"/>
    </w:rPr>
  </w:style>
  <w:style w:type="paragraph" w:styleId="4">
    <w:name w:val="Body Text"/>
    <w:basedOn w:val="1"/>
    <w:qFormat/>
    <w:uiPriority w:val="0"/>
    <w:pPr>
      <w:spacing w:after="120"/>
    </w:pPr>
  </w:style>
  <w:style w:type="paragraph" w:styleId="5">
    <w:name w:val="Balloon Text"/>
    <w:basedOn w:val="1"/>
    <w:semiHidden/>
    <w:qFormat/>
    <w:uiPriority w:val="0"/>
    <w:rPr>
      <w:sz w:val="18"/>
      <w:szCs w:val="18"/>
    </w:rPr>
  </w:style>
  <w:style w:type="paragraph" w:styleId="6">
    <w:name w:val="annotation text"/>
    <w:basedOn w:val="1"/>
    <w:link w:val="19"/>
    <w:unhideWhenUsed/>
    <w:uiPriority w:val="0"/>
    <w:pPr>
      <w:jc w:val="left"/>
    </w:pPr>
  </w:style>
  <w:style w:type="paragraph" w:styleId="7">
    <w:name w:val="footer"/>
    <w:basedOn w:val="1"/>
    <w:link w:val="18"/>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2">
    <w:name w:val="annotation reference"/>
    <w:basedOn w:val="11"/>
    <w:unhideWhenUsed/>
    <w:uiPriority w:val="0"/>
    <w:rPr>
      <w:sz w:val="21"/>
      <w:szCs w:val="21"/>
    </w:rPr>
  </w:style>
  <w:style w:type="character" w:customStyle="1" w:styleId="13">
    <w:name w:val="da"/>
    <w:basedOn w:val="11"/>
    <w:qFormat/>
    <w:uiPriority w:val="0"/>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da1"/>
    <w:qFormat/>
    <w:uiPriority w:val="0"/>
    <w:rPr>
      <w:rFonts w:hint="default" w:ascii="ˎ̥" w:hAnsi="ˎ̥"/>
      <w:color w:val="000000"/>
      <w:sz w:val="21"/>
      <w:szCs w:val="21"/>
      <w:u w:val="none"/>
    </w:rPr>
  </w:style>
  <w:style w:type="paragraph" w:styleId="16">
    <w:name w:val="No Spacing"/>
    <w:qFormat/>
    <w:uiPriority w:val="1"/>
    <w:pPr>
      <w:widowControl w:val="0"/>
    </w:pPr>
    <w:rPr>
      <w:rFonts w:asciiTheme="minorHAnsi" w:hAnsiTheme="minorHAnsi" w:eastAsiaTheme="minorEastAsia" w:cstheme="minorBidi"/>
      <w:sz w:val="22"/>
      <w:szCs w:val="22"/>
      <w:lang w:val="en-US" w:eastAsia="en-US" w:bidi="ar-SA"/>
    </w:rPr>
  </w:style>
  <w:style w:type="character" w:customStyle="1" w:styleId="17">
    <w:name w:val="页眉 Char"/>
    <w:basedOn w:val="11"/>
    <w:link w:val="8"/>
    <w:uiPriority w:val="0"/>
    <w:rPr>
      <w:rFonts w:ascii="Times New Roman" w:hAnsi="Times New Roman" w:eastAsia="宋体" w:cs="Times New Roman"/>
      <w:kern w:val="2"/>
      <w:sz w:val="18"/>
      <w:szCs w:val="18"/>
    </w:rPr>
  </w:style>
  <w:style w:type="character" w:customStyle="1" w:styleId="18">
    <w:name w:val="页脚 Char"/>
    <w:basedOn w:val="11"/>
    <w:link w:val="7"/>
    <w:uiPriority w:val="0"/>
    <w:rPr>
      <w:rFonts w:ascii="Times New Roman" w:hAnsi="Times New Roman" w:eastAsia="宋体" w:cs="Times New Roman"/>
      <w:kern w:val="2"/>
      <w:sz w:val="18"/>
      <w:szCs w:val="18"/>
    </w:rPr>
  </w:style>
  <w:style w:type="character" w:customStyle="1" w:styleId="19">
    <w:name w:val="批注文字 Char"/>
    <w:basedOn w:val="11"/>
    <w:link w:val="6"/>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1239</Words>
  <Characters>1282</Characters>
  <Lines>10</Lines>
  <Paragraphs>2</Paragraphs>
  <TotalTime>21</TotalTime>
  <ScaleCrop>false</ScaleCrop>
  <LinksUpToDate>false</LinksUpToDate>
  <CharactersWithSpaces>1393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2022-05-07T03:21:00Z</dcterms:created>
  <dc:creator>zbkgjt</dc:creator>
  <cp:lastModifiedBy>王茂</cp:lastModifiedBy>
  <dcterms:modified xsi:type="dcterms:W3CDTF">2022-05-11T09:18:27Z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35779DA061CA4560A735AFA8FC5D4215</vt:lpwstr>
  </property>
</Properties>
</file>