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kern w:val="0"/>
          <w:sz w:val="24"/>
          <w:lang w:val="en-US" w:eastAsia="zh-CN"/>
        </w:rPr>
      </w:pPr>
      <w:r>
        <w:rPr>
          <w:rFonts w:hint="eastAsia" w:ascii="宋体" w:hAnsi="宋体" w:eastAsia="宋体" w:cs="宋体"/>
          <w:kern w:val="0"/>
          <w:sz w:val="24"/>
        </w:rPr>
        <w:t>证券代码：000759        证券简称：中百集团        公告编号：2022-0</w:t>
      </w:r>
      <w:r>
        <w:rPr>
          <w:rFonts w:hint="eastAsia" w:ascii="宋体" w:hAnsi="宋体" w:eastAsia="宋体" w:cs="宋体"/>
          <w:kern w:val="0"/>
          <w:sz w:val="24"/>
          <w:lang w:val="en-US" w:eastAsia="zh-CN"/>
        </w:rPr>
        <w:t>32</w:t>
      </w:r>
    </w:p>
    <w:p>
      <w:pPr>
        <w:spacing w:line="360" w:lineRule="auto"/>
        <w:jc w:val="center"/>
        <w:rPr>
          <w:rFonts w:hint="eastAsia"/>
          <w:kern w:val="0"/>
          <w:sz w:val="24"/>
        </w:rPr>
      </w:pPr>
    </w:p>
    <w:p>
      <w:pPr>
        <w:pStyle w:val="6"/>
        <w:adjustRightInd w:val="0"/>
        <w:snapToGrid w:val="0"/>
        <w:spacing w:before="0" w:beforeAutospacing="0" w:after="0" w:afterAutospacing="0"/>
        <w:ind w:right="178" w:rightChars="85"/>
        <w:jc w:val="center"/>
        <w:rPr>
          <w:rStyle w:val="9"/>
          <w:rFonts w:hint="eastAsia" w:ascii="Times New Roman" w:hAnsi="Times New Roman" w:eastAsia="黑体" w:cs="Times New Roman"/>
          <w:color w:val="auto"/>
          <w:sz w:val="36"/>
          <w:szCs w:val="36"/>
        </w:rPr>
      </w:pPr>
      <w:r>
        <w:rPr>
          <w:rStyle w:val="9"/>
          <w:rFonts w:hint="eastAsia" w:ascii="Times New Roman" w:hAnsi="Times New Roman" w:eastAsia="黑体" w:cs="Times New Roman"/>
          <w:color w:val="auto"/>
          <w:sz w:val="36"/>
          <w:szCs w:val="36"/>
        </w:rPr>
        <w:t>中百控股集团股份有限公司</w:t>
      </w:r>
    </w:p>
    <w:p>
      <w:pPr>
        <w:pStyle w:val="6"/>
        <w:adjustRightInd w:val="0"/>
        <w:snapToGrid w:val="0"/>
        <w:spacing w:before="0" w:beforeAutospacing="0" w:after="0" w:afterAutospacing="0"/>
        <w:ind w:right="178" w:rightChars="85"/>
        <w:jc w:val="center"/>
        <w:rPr>
          <w:rStyle w:val="9"/>
          <w:rFonts w:hint="eastAsia" w:ascii="Times New Roman" w:hAnsi="Times New Roman" w:eastAsia="黑体" w:cs="Times New Roman"/>
          <w:color w:val="auto"/>
          <w:sz w:val="36"/>
          <w:szCs w:val="36"/>
          <w:lang w:val="en-US" w:eastAsia="zh-CN"/>
        </w:rPr>
      </w:pPr>
      <w:r>
        <w:rPr>
          <w:rStyle w:val="9"/>
          <w:rFonts w:hint="eastAsia" w:ascii="Times New Roman" w:hAnsi="Times New Roman" w:eastAsia="黑体" w:cs="Times New Roman"/>
          <w:color w:val="auto"/>
          <w:sz w:val="36"/>
          <w:szCs w:val="36"/>
        </w:rPr>
        <w:t>第十届董事会第</w:t>
      </w:r>
      <w:r>
        <w:rPr>
          <w:rStyle w:val="9"/>
          <w:rFonts w:hint="eastAsia" w:ascii="Times New Roman" w:hAnsi="Times New Roman" w:eastAsia="黑体" w:cs="Times New Roman"/>
          <w:color w:val="auto"/>
          <w:sz w:val="36"/>
          <w:szCs w:val="36"/>
          <w:lang w:val="en-US" w:eastAsia="zh-CN"/>
        </w:rPr>
        <w:t>十三</w:t>
      </w:r>
      <w:r>
        <w:rPr>
          <w:rStyle w:val="9"/>
          <w:rFonts w:hint="eastAsia" w:ascii="Times New Roman" w:hAnsi="Times New Roman" w:eastAsia="黑体" w:cs="Times New Roman"/>
          <w:color w:val="auto"/>
          <w:sz w:val="36"/>
          <w:szCs w:val="36"/>
        </w:rPr>
        <w:t>次</w:t>
      </w:r>
      <w:r>
        <w:rPr>
          <w:rStyle w:val="9"/>
          <w:rFonts w:hint="eastAsia" w:eastAsia="黑体"/>
          <w:sz w:val="36"/>
          <w:szCs w:val="36"/>
        </w:rPr>
        <w:t>会议决议</w:t>
      </w:r>
      <w:r>
        <w:rPr>
          <w:rStyle w:val="9"/>
          <w:rFonts w:hint="eastAsia" w:eastAsia="黑体"/>
          <w:sz w:val="36"/>
          <w:szCs w:val="36"/>
          <w:lang w:val="en-US" w:eastAsia="zh-CN"/>
        </w:rPr>
        <w:t>公告</w:t>
      </w:r>
    </w:p>
    <w:p>
      <w:pPr>
        <w:pStyle w:val="10"/>
        <w:snapToGrid w:val="0"/>
        <w:jc w:val="center"/>
        <w:rPr>
          <w:rStyle w:val="11"/>
          <w:rFonts w:hAnsi="黑体"/>
        </w:rPr>
      </w:pP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4" w:type="dxa"/>
          </w:tcPr>
          <w:p>
            <w:pPr>
              <w:pStyle w:val="10"/>
              <w:spacing w:line="400" w:lineRule="exact"/>
              <w:ind w:firstLine="480" w:firstLineChars="200"/>
              <w:jc w:val="both"/>
              <w:rPr>
                <w:rFonts w:ascii="楷体" w:hAnsi="楷体" w:eastAsia="楷体"/>
              </w:rPr>
            </w:pPr>
            <w:r>
              <w:rPr>
                <w:rFonts w:hint="eastAsia" w:ascii="楷体" w:hAnsi="楷体" w:eastAsia="楷体"/>
              </w:rPr>
              <w:t>本公司及董事会全体成员保证信息披露的内容真实、准确、完整，没有虚假记载、误导性陈述或者重大遗漏。</w:t>
            </w:r>
          </w:p>
        </w:tc>
      </w:tr>
    </w:tbl>
    <w:p>
      <w:pPr>
        <w:pStyle w:val="6"/>
        <w:keepNext w:val="0"/>
        <w:keepLines w:val="0"/>
        <w:pageBreakBefore w:val="0"/>
        <w:widowControl/>
        <w:kinsoku/>
        <w:wordWrap/>
        <w:overflowPunct/>
        <w:topLinePunct w:val="0"/>
        <w:autoSpaceDE/>
        <w:autoSpaceDN/>
        <w:bidi w:val="0"/>
        <w:adjustRightInd w:val="0"/>
        <w:snapToGrid w:val="0"/>
        <w:spacing w:before="157" w:beforeLines="50" w:beforeAutospacing="0" w:after="0" w:afterAutospacing="0" w:line="400" w:lineRule="exact"/>
        <w:ind w:firstLine="480" w:firstLineChars="200"/>
        <w:jc w:val="both"/>
        <w:textAlignment w:val="auto"/>
        <w:rPr>
          <w:rStyle w:val="9"/>
          <w:rFonts w:hint="eastAsia" w:cs="Times New Roman"/>
        </w:rPr>
      </w:pPr>
      <w:r>
        <w:rPr>
          <w:rStyle w:val="9"/>
          <w:rFonts w:hint="eastAsia" w:cs="Times New Roman"/>
        </w:rPr>
        <w:t>中百控股集团股份有限公司（以下简称“公司”）第十届董事会第</w:t>
      </w:r>
      <w:r>
        <w:rPr>
          <w:rStyle w:val="9"/>
          <w:rFonts w:hint="eastAsia" w:cs="Times New Roman"/>
          <w:lang w:val="en-US" w:eastAsia="zh-CN"/>
        </w:rPr>
        <w:t>十三</w:t>
      </w:r>
      <w:r>
        <w:rPr>
          <w:rStyle w:val="9"/>
          <w:rFonts w:hint="eastAsia" w:cs="Times New Roman"/>
        </w:rPr>
        <w:t>次会议于202</w:t>
      </w:r>
      <w:r>
        <w:rPr>
          <w:rStyle w:val="9"/>
          <w:rFonts w:hint="eastAsia" w:cs="Times New Roman"/>
          <w:lang w:val="en-US" w:eastAsia="zh-CN"/>
        </w:rPr>
        <w:t>2</w:t>
      </w:r>
      <w:r>
        <w:rPr>
          <w:rStyle w:val="9"/>
          <w:rFonts w:hint="eastAsia" w:cs="Times New Roman"/>
        </w:rPr>
        <w:t>年</w:t>
      </w:r>
      <w:r>
        <w:rPr>
          <w:rStyle w:val="9"/>
          <w:rFonts w:hint="eastAsia" w:cs="Times New Roman"/>
          <w:lang w:val="en-US" w:eastAsia="zh-CN"/>
        </w:rPr>
        <w:t>7</w:t>
      </w:r>
      <w:r>
        <w:rPr>
          <w:rStyle w:val="9"/>
          <w:rFonts w:hint="eastAsia" w:cs="Times New Roman"/>
        </w:rPr>
        <w:t>月</w:t>
      </w:r>
      <w:r>
        <w:rPr>
          <w:rStyle w:val="9"/>
          <w:rFonts w:hint="eastAsia" w:cs="Times New Roman"/>
          <w:lang w:val="en-US" w:eastAsia="zh-CN"/>
        </w:rPr>
        <w:t>6</w:t>
      </w:r>
      <w:r>
        <w:rPr>
          <w:rStyle w:val="9"/>
          <w:rFonts w:hint="eastAsia" w:cs="Times New Roman"/>
        </w:rPr>
        <w:t>日以通讯表决的方式召开。本次会议通知于202</w:t>
      </w:r>
      <w:r>
        <w:rPr>
          <w:rStyle w:val="9"/>
          <w:rFonts w:hint="eastAsia" w:cs="Times New Roman"/>
          <w:lang w:val="en-US" w:eastAsia="zh-CN"/>
        </w:rPr>
        <w:t>2</w:t>
      </w:r>
      <w:r>
        <w:rPr>
          <w:rStyle w:val="9"/>
          <w:rFonts w:hint="eastAsia" w:cs="Times New Roman"/>
        </w:rPr>
        <w:t>年</w:t>
      </w:r>
      <w:r>
        <w:rPr>
          <w:rStyle w:val="9"/>
          <w:rFonts w:hint="eastAsia" w:cs="Times New Roman"/>
          <w:lang w:val="en-US" w:eastAsia="zh-CN"/>
        </w:rPr>
        <w:t>6</w:t>
      </w:r>
      <w:r>
        <w:rPr>
          <w:rStyle w:val="9"/>
          <w:rFonts w:hint="eastAsia" w:cs="Times New Roman"/>
        </w:rPr>
        <w:t>月</w:t>
      </w:r>
      <w:r>
        <w:rPr>
          <w:rStyle w:val="9"/>
          <w:rFonts w:hint="eastAsia" w:cs="Times New Roman"/>
          <w:lang w:val="en-US" w:eastAsia="zh-CN"/>
        </w:rPr>
        <w:t>30</w:t>
      </w:r>
      <w:r>
        <w:rPr>
          <w:rStyle w:val="9"/>
          <w:rFonts w:hint="eastAsia" w:cs="Times New Roman"/>
        </w:rPr>
        <w:t>日以电子邮件形式发出。应</w:t>
      </w:r>
      <w:r>
        <w:rPr>
          <w:rStyle w:val="9"/>
          <w:rFonts w:hint="eastAsia" w:cs="Times New Roman"/>
          <w:lang w:val="en-US" w:eastAsia="zh-CN"/>
        </w:rPr>
        <w:t>参会</w:t>
      </w:r>
      <w:r>
        <w:rPr>
          <w:rStyle w:val="9"/>
          <w:rFonts w:hint="eastAsia" w:cs="Times New Roman"/>
        </w:rPr>
        <w:t>董事</w:t>
      </w:r>
      <w:r>
        <w:rPr>
          <w:rStyle w:val="9"/>
          <w:rFonts w:hint="eastAsia" w:cs="Times New Roman"/>
          <w:lang w:val="en-US" w:eastAsia="zh-CN"/>
        </w:rPr>
        <w:t>11</w:t>
      </w:r>
      <w:r>
        <w:rPr>
          <w:rStyle w:val="9"/>
          <w:rFonts w:hint="eastAsia" w:cs="Times New Roman"/>
        </w:rPr>
        <w:t>名，</w:t>
      </w:r>
      <w:r>
        <w:rPr>
          <w:rStyle w:val="9"/>
          <w:rFonts w:hint="eastAsia" w:cs="Times New Roman"/>
          <w:lang w:val="en-US" w:eastAsia="zh-CN"/>
        </w:rPr>
        <w:t>实际参会</w:t>
      </w:r>
      <w:r>
        <w:rPr>
          <w:rStyle w:val="9"/>
          <w:rFonts w:hint="eastAsia" w:cs="Times New Roman"/>
        </w:rPr>
        <w:t>董事</w:t>
      </w:r>
      <w:r>
        <w:rPr>
          <w:rStyle w:val="9"/>
          <w:rFonts w:hint="eastAsia" w:cs="Times New Roman"/>
          <w:lang w:val="en-US" w:eastAsia="zh-CN"/>
        </w:rPr>
        <w:t>11</w:t>
      </w:r>
      <w:r>
        <w:rPr>
          <w:rStyle w:val="9"/>
          <w:rFonts w:hint="eastAsia" w:cs="Times New Roman"/>
        </w:rPr>
        <w:t>名。参加会议的董事符合法定人数，董事会会议的召集、召开及表决程序符合《公司法》及公司章程的规定。</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exact"/>
        <w:ind w:firstLine="480" w:firstLineChars="200"/>
        <w:jc w:val="both"/>
        <w:textAlignment w:val="auto"/>
        <w:rPr>
          <w:rStyle w:val="9"/>
          <w:rFonts w:hint="eastAsia" w:cs="Times New Roman"/>
        </w:rPr>
      </w:pPr>
      <w:r>
        <w:rPr>
          <w:rStyle w:val="9"/>
          <w:rFonts w:hint="eastAsia" w:cs="Times New Roman"/>
        </w:rPr>
        <w:t>会议审议通过了以下议案：</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exact"/>
        <w:ind w:firstLine="480" w:firstLineChars="200"/>
        <w:jc w:val="both"/>
        <w:textAlignment w:val="auto"/>
        <w:rPr>
          <w:rStyle w:val="9"/>
          <w:rFonts w:hint="eastAsia" w:ascii="黑体" w:hAnsi="黑体" w:eastAsia="黑体" w:cs="Times New Roman"/>
        </w:rPr>
      </w:pPr>
      <w:r>
        <w:rPr>
          <w:rStyle w:val="9"/>
          <w:rFonts w:hint="eastAsia" w:ascii="黑体" w:hAnsi="黑体" w:eastAsia="黑体" w:cs="黑体"/>
        </w:rPr>
        <w:t>一、</w:t>
      </w:r>
      <w:r>
        <w:rPr>
          <w:rFonts w:hint="eastAsia" w:ascii="黑体" w:hAnsi="黑体" w:eastAsia="黑体" w:cs="黑体"/>
        </w:rPr>
        <w:t>关于补选公司独立董事的议案。</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exact"/>
        <w:ind w:firstLine="480" w:firstLineChars="200"/>
        <w:jc w:val="both"/>
        <w:textAlignment w:val="auto"/>
      </w:pPr>
      <w:r>
        <w:t>表决结果：</w:t>
      </w:r>
      <w:r>
        <w:rPr>
          <w:rFonts w:hint="eastAsia"/>
          <w:lang w:val="en-US" w:eastAsia="zh-CN"/>
        </w:rPr>
        <w:t>11</w:t>
      </w:r>
      <w:r>
        <w:t>票同意，0 票反对，0 票弃权。</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exact"/>
        <w:ind w:firstLine="480" w:firstLineChars="200"/>
        <w:jc w:val="both"/>
        <w:textAlignment w:val="auto"/>
        <w:rPr>
          <w:rFonts w:hint="eastAsia"/>
        </w:rPr>
      </w:pPr>
      <w:r>
        <w:rPr>
          <w:rFonts w:hint="eastAsia"/>
        </w:rPr>
        <w:t>公司独立董事黄静女士因任期届满离任，公司董事会推荐杜鹏先生（简历附后）为公司第十届董事会独立董事候选人，任期至本届董事会换届之日止。</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exact"/>
        <w:ind w:firstLine="480" w:firstLineChars="200"/>
        <w:jc w:val="both"/>
        <w:textAlignment w:val="auto"/>
        <w:rPr>
          <w:rFonts w:hint="eastAsia"/>
        </w:rPr>
      </w:pPr>
      <w:r>
        <w:rPr>
          <w:rFonts w:hint="eastAsia"/>
          <w:lang w:val="en-US" w:eastAsia="zh-CN"/>
        </w:rPr>
        <w:t>该</w:t>
      </w:r>
      <w:r>
        <w:rPr>
          <w:rFonts w:hint="eastAsia"/>
        </w:rPr>
        <w:t>议案需提交股东大会审议。独立董事候选人的任职资格需提交深交所审核无异议后方可提交股东大会审议。</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exact"/>
        <w:ind w:firstLine="480" w:firstLineChars="200"/>
        <w:jc w:val="both"/>
        <w:textAlignment w:val="auto"/>
      </w:pPr>
      <w:r>
        <w:rPr>
          <w:rFonts w:hint="eastAsia"/>
        </w:rPr>
        <w:t>公司独立董事发表了相关独立意见，详见公司</w:t>
      </w:r>
      <w:r>
        <w:rPr>
          <w:rFonts w:hint="eastAsia"/>
          <w:lang w:val="en-US" w:eastAsia="zh-CN"/>
        </w:rPr>
        <w:t>同日</w:t>
      </w:r>
      <w:r>
        <w:rPr>
          <w:rFonts w:hint="eastAsia"/>
        </w:rPr>
        <w:t>在巨潮资讯网披露的《独立董事关于第十届董事会第</w:t>
      </w:r>
      <w:r>
        <w:rPr>
          <w:rFonts w:hint="eastAsia"/>
          <w:lang w:val="en-US" w:eastAsia="zh-CN"/>
        </w:rPr>
        <w:t>十三</w:t>
      </w:r>
      <w:r>
        <w:rPr>
          <w:rFonts w:hint="eastAsia"/>
        </w:rPr>
        <w:t>次会议相关事项的独立意见》。</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exact"/>
        <w:ind w:firstLine="480" w:firstLineChars="200"/>
        <w:jc w:val="both"/>
        <w:textAlignment w:val="auto"/>
        <w:rPr>
          <w:rStyle w:val="9"/>
          <w:rFonts w:hint="eastAsia" w:ascii="黑体" w:hAnsi="黑体" w:eastAsia="黑体" w:cs="黑体"/>
        </w:rPr>
      </w:pPr>
      <w:r>
        <w:rPr>
          <w:rStyle w:val="9"/>
          <w:rFonts w:hint="eastAsia" w:ascii="黑体" w:hAnsi="黑体" w:eastAsia="黑体" w:cs="黑体"/>
        </w:rPr>
        <w:t>二、关于制定《董事会授权管理办法》的议案。</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exact"/>
        <w:ind w:firstLine="480" w:firstLineChars="200"/>
        <w:jc w:val="both"/>
        <w:textAlignment w:val="auto"/>
      </w:pPr>
      <w:r>
        <w:t>表决结果：11 票同意，0 票反对，0 票弃权。</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exact"/>
        <w:ind w:firstLine="480" w:firstLineChars="200"/>
        <w:jc w:val="both"/>
        <w:textAlignment w:val="auto"/>
      </w:pPr>
      <w:r>
        <w:rPr>
          <w:rFonts w:hint="eastAsia"/>
        </w:rPr>
        <w:t>《中百控股集团股份有限公司董事会授权管理办法》详见</w:t>
      </w:r>
      <w:r>
        <w:rPr>
          <w:rFonts w:hint="eastAsia"/>
          <w:lang w:val="en-US" w:eastAsia="zh-CN"/>
        </w:rPr>
        <w:t>同日</w:t>
      </w:r>
      <w:r>
        <w:rPr>
          <w:rFonts w:hint="eastAsia"/>
        </w:rPr>
        <w:t>巨潮资讯网公告。</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exact"/>
        <w:ind w:firstLine="480" w:firstLineChars="200"/>
        <w:jc w:val="both"/>
        <w:textAlignment w:val="auto"/>
        <w:rPr>
          <w:rStyle w:val="9"/>
          <w:rFonts w:hint="eastAsia" w:ascii="黑体" w:hAnsi="黑体" w:eastAsia="黑体" w:cs="黑体"/>
        </w:rPr>
      </w:pPr>
      <w:r>
        <w:rPr>
          <w:rStyle w:val="9"/>
          <w:rFonts w:hint="eastAsia" w:ascii="黑体" w:hAnsi="黑体" w:eastAsia="黑体" w:cs="黑体"/>
          <w:lang w:val="en-US" w:eastAsia="zh-CN"/>
        </w:rPr>
        <w:t>三</w:t>
      </w:r>
      <w:r>
        <w:rPr>
          <w:rStyle w:val="9"/>
          <w:rFonts w:hint="eastAsia" w:ascii="黑体" w:hAnsi="黑体" w:eastAsia="黑体" w:cs="黑体"/>
        </w:rPr>
        <w:t>、关于召开2022年第二次临时股东大会的议案。</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exact"/>
        <w:ind w:firstLine="480" w:firstLineChars="200"/>
        <w:jc w:val="both"/>
        <w:textAlignment w:val="auto"/>
      </w:pPr>
      <w:r>
        <w:t>表决结果：11 票同意，0 票反对，0 票弃权。</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exact"/>
        <w:ind w:firstLine="480" w:firstLineChars="200"/>
        <w:jc w:val="both"/>
        <w:textAlignment w:val="auto"/>
      </w:pPr>
      <w:r>
        <w:rPr>
          <w:rFonts w:hint="eastAsia"/>
        </w:rPr>
        <w:t>具体内容详见公司同日刊登在《证券时报》《上海证券报》《中国证券报》及巨潮资讯网上的《关于召开2022年第</w:t>
      </w:r>
      <w:r>
        <w:rPr>
          <w:rFonts w:hint="eastAsia"/>
          <w:lang w:val="en-US" w:eastAsia="zh-CN"/>
        </w:rPr>
        <w:t>二</w:t>
      </w:r>
      <w:r>
        <w:rPr>
          <w:rFonts w:hint="eastAsia"/>
        </w:rPr>
        <w:t>次临时股东大会的通知》（公告编号：2022-0</w:t>
      </w:r>
      <w:r>
        <w:rPr>
          <w:rFonts w:hint="eastAsia"/>
          <w:lang w:val="en-US" w:eastAsia="zh-CN"/>
        </w:rPr>
        <w:t>35</w:t>
      </w:r>
      <w:r>
        <w:rPr>
          <w:rFonts w:hint="eastAsia"/>
        </w:rPr>
        <w:t>）。</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exact"/>
        <w:ind w:firstLine="480" w:firstLineChars="200"/>
        <w:jc w:val="both"/>
        <w:textAlignment w:val="auto"/>
        <w:rPr>
          <w:rStyle w:val="9"/>
          <w:rFonts w:cs="Times New Roman"/>
        </w:rPr>
      </w:pPr>
      <w:r>
        <w:rPr>
          <w:rStyle w:val="9"/>
          <w:rFonts w:hint="eastAsia" w:cs="Times New Roman"/>
        </w:rPr>
        <w:t>特此公告。</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exact"/>
        <w:ind w:firstLine="5280" w:firstLineChars="2200"/>
        <w:jc w:val="both"/>
        <w:textAlignment w:val="auto"/>
        <w:rPr>
          <w:rStyle w:val="9"/>
          <w:rFonts w:hint="eastAsia" w:cs="Times New Roman"/>
        </w:rPr>
      </w:pPr>
      <w:r>
        <w:rPr>
          <w:rStyle w:val="9"/>
          <w:rFonts w:hint="eastAsia" w:cs="Times New Roman"/>
        </w:rPr>
        <w:t>中百控股集团股份有限公司</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exact"/>
        <w:ind w:firstLine="6240" w:firstLineChars="2600"/>
        <w:jc w:val="both"/>
        <w:textAlignment w:val="auto"/>
        <w:rPr>
          <w:rStyle w:val="9"/>
          <w:rFonts w:hint="eastAsia" w:cs="Times New Roman"/>
        </w:rPr>
      </w:pPr>
      <w:r>
        <w:rPr>
          <w:rStyle w:val="9"/>
          <w:rFonts w:hint="eastAsia" w:cs="Times New Roman"/>
        </w:rPr>
        <w:t>董</w:t>
      </w:r>
      <w:r>
        <w:rPr>
          <w:rStyle w:val="9"/>
          <w:rFonts w:hint="eastAsia" w:cs="Times New Roman"/>
          <w:lang w:val="en-US" w:eastAsia="zh-CN"/>
        </w:rPr>
        <w:t xml:space="preserve"> </w:t>
      </w:r>
      <w:r>
        <w:rPr>
          <w:rStyle w:val="9"/>
          <w:rFonts w:hint="eastAsia" w:cs="Times New Roman"/>
        </w:rPr>
        <w:t>事</w:t>
      </w:r>
      <w:r>
        <w:rPr>
          <w:rStyle w:val="9"/>
          <w:rFonts w:hint="eastAsia" w:cs="Times New Roman"/>
          <w:lang w:val="en-US" w:eastAsia="zh-CN"/>
        </w:rPr>
        <w:t xml:space="preserve"> </w:t>
      </w:r>
      <w:r>
        <w:rPr>
          <w:rStyle w:val="9"/>
          <w:rFonts w:hint="eastAsia" w:cs="Times New Roman"/>
        </w:rPr>
        <w:t>会</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exact"/>
        <w:ind w:firstLine="480" w:firstLineChars="200"/>
        <w:jc w:val="both"/>
        <w:textAlignment w:val="auto"/>
        <w:rPr>
          <w:rStyle w:val="9"/>
          <w:rFonts w:hint="eastAsia" w:cs="Times New Roman"/>
        </w:rPr>
      </w:pPr>
      <w:r>
        <w:rPr>
          <w:rStyle w:val="9"/>
          <w:rFonts w:hint="eastAsia" w:cs="Times New Roman"/>
        </w:rPr>
        <w:t xml:space="preserve">                                         </w:t>
      </w:r>
      <w:r>
        <w:rPr>
          <w:rStyle w:val="9"/>
          <w:rFonts w:hint="eastAsia" w:cs="Times New Roman"/>
          <w:lang w:val="en-US" w:eastAsia="zh-CN"/>
        </w:rPr>
        <w:t xml:space="preserve">  </w:t>
      </w:r>
      <w:r>
        <w:rPr>
          <w:rStyle w:val="9"/>
          <w:rFonts w:hint="eastAsia" w:cs="Times New Roman"/>
        </w:rPr>
        <w:t xml:space="preserve"> 202</w:t>
      </w:r>
      <w:r>
        <w:rPr>
          <w:rStyle w:val="9"/>
          <w:rFonts w:hint="eastAsia" w:cs="Times New Roman"/>
          <w:lang w:val="en-US" w:eastAsia="zh-CN"/>
        </w:rPr>
        <w:t>2</w:t>
      </w:r>
      <w:r>
        <w:rPr>
          <w:rStyle w:val="9"/>
          <w:rFonts w:hint="eastAsia" w:cs="Times New Roman"/>
        </w:rPr>
        <w:t>年7月</w:t>
      </w:r>
      <w:r>
        <w:rPr>
          <w:rStyle w:val="9"/>
          <w:rFonts w:hint="eastAsia" w:cs="Times New Roman"/>
          <w:lang w:val="en-US" w:eastAsia="zh-CN"/>
        </w:rPr>
        <w:t>7</w:t>
      </w:r>
      <w:r>
        <w:rPr>
          <w:rStyle w:val="9"/>
          <w:rFonts w:hint="eastAsia" w:cs="Times New Roman"/>
        </w:rPr>
        <w:t>日</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88" w:firstLineChars="196"/>
        <w:jc w:val="center"/>
        <w:textAlignment w:val="auto"/>
        <w:rPr>
          <w:rFonts w:hint="eastAsia" w:ascii="黑体" w:hAnsi="黑体" w:eastAsia="黑体" w:cs="宋体"/>
          <w:color w:val="000000"/>
          <w:sz w:val="30"/>
          <w:szCs w:val="30"/>
        </w:rPr>
      </w:pPr>
      <w:r>
        <w:rPr>
          <w:rFonts w:hint="eastAsia" w:ascii="黑体" w:hAnsi="黑体" w:eastAsia="黑体" w:cs="宋体"/>
          <w:color w:val="000000"/>
          <w:sz w:val="30"/>
          <w:szCs w:val="30"/>
        </w:rPr>
        <w:t>独立董事候选人简历</w:t>
      </w:r>
    </w:p>
    <w:p>
      <w:pPr>
        <w:pStyle w:val="2"/>
      </w:pPr>
    </w:p>
    <w:p>
      <w:pPr>
        <w:keepNext w:val="0"/>
        <w:keepLines w:val="0"/>
        <w:pageBreakBefore w:val="0"/>
        <w:widowControl w:val="0"/>
        <w:tabs>
          <w:tab w:val="left" w:pos="916"/>
          <w:tab w:val="left" w:pos="12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adjustRightInd w:val="0"/>
        <w:snapToGrid w:val="0"/>
        <w:spacing w:line="360" w:lineRule="auto"/>
        <w:ind w:firstLine="480" w:firstLineChars="200"/>
        <w:textAlignment w:val="auto"/>
        <w:rPr>
          <w:rFonts w:hint="eastAsia" w:ascii="宋体" w:hAnsi="Calibri" w:cs="宋体"/>
          <w:color w:val="000000"/>
          <w:sz w:val="24"/>
        </w:rPr>
      </w:pPr>
      <w:r>
        <w:rPr>
          <w:rFonts w:hint="eastAsia" w:ascii="宋体" w:hAnsi="宋体"/>
          <w:snapToGrid w:val="0"/>
          <w:kern w:val="0"/>
          <w:sz w:val="24"/>
        </w:rPr>
        <w:t>杜鹏</w:t>
      </w:r>
      <w:r>
        <w:rPr>
          <w:rFonts w:hint="eastAsia" w:ascii="宋体" w:hAnsi="Calibri" w:cs="宋体"/>
          <w:color w:val="000000"/>
          <w:sz w:val="24"/>
        </w:rPr>
        <w:t>，男，1981年出生，中共党员，中南财经政法大学市场营销博士，曾任中南财经政法大学工商管理学院贸易与营销管理系讲师</w:t>
      </w:r>
      <w:r>
        <w:rPr>
          <w:rFonts w:hint="eastAsia" w:ascii="宋体" w:hAnsi="Calibri" w:cs="宋体"/>
          <w:color w:val="000000"/>
          <w:sz w:val="24"/>
          <w:lang w:eastAsia="zh-CN"/>
        </w:rPr>
        <w:t>，</w:t>
      </w:r>
      <w:r>
        <w:rPr>
          <w:rFonts w:hint="eastAsia" w:ascii="宋体" w:hAnsi="Calibri" w:cs="宋体"/>
          <w:color w:val="000000"/>
          <w:sz w:val="24"/>
          <w:lang w:val="en-US" w:eastAsia="zh-CN"/>
        </w:rPr>
        <w:t>现任</w:t>
      </w:r>
      <w:r>
        <w:rPr>
          <w:rFonts w:hint="eastAsia" w:ascii="宋体" w:hAnsi="Calibri" w:cs="宋体"/>
          <w:color w:val="000000"/>
          <w:sz w:val="24"/>
        </w:rPr>
        <w:t>中南财经政法大学</w:t>
      </w:r>
      <w:r>
        <w:rPr>
          <w:rFonts w:hint="eastAsia" w:ascii="宋体" w:hAnsi="Calibri" w:cs="宋体"/>
          <w:color w:val="000000"/>
          <w:sz w:val="24"/>
          <w:lang w:eastAsia="zh-CN"/>
        </w:rPr>
        <w:t>工商管理学院营销管理系副教授、系主任、MBA管理案例研究中心主任，</w:t>
      </w:r>
      <w:r>
        <w:rPr>
          <w:rFonts w:hint="eastAsia" w:ascii="宋体" w:hAnsi="Calibri" w:cs="宋体"/>
          <w:color w:val="000000"/>
          <w:sz w:val="24"/>
          <w:lang w:val="en-US" w:eastAsia="zh-CN"/>
        </w:rPr>
        <w:t>兼任蓝鼎国际发展有限公司独立非执行董事职务、</w:t>
      </w:r>
      <w:r>
        <w:rPr>
          <w:rFonts w:hint="eastAsia" w:ascii="宋体" w:hAnsi="宋体" w:cs="宋体"/>
          <w:color w:val="000000"/>
          <w:kern w:val="28"/>
          <w:sz w:val="24"/>
          <w:szCs w:val="24"/>
        </w:rPr>
        <w:t>武汉驿路通科技股份有限公司管理顾问</w:t>
      </w:r>
      <w:r>
        <w:rPr>
          <w:rFonts w:hint="eastAsia" w:ascii="宋体" w:hAnsi="宋体" w:cs="宋体"/>
          <w:color w:val="000000"/>
          <w:kern w:val="28"/>
          <w:sz w:val="24"/>
          <w:szCs w:val="24"/>
          <w:lang w:eastAsia="zh-CN"/>
        </w:rPr>
        <w:t>、</w:t>
      </w:r>
      <w:bookmarkStart w:id="0" w:name="_GoBack"/>
      <w:bookmarkEnd w:id="0"/>
      <w:r>
        <w:rPr>
          <w:rFonts w:hint="eastAsia" w:ascii="宋体" w:hAnsi="Calibri" w:cs="宋体"/>
          <w:color w:val="000000"/>
          <w:sz w:val="24"/>
        </w:rPr>
        <w:t>中国高等院校市场学研究会常务理事、湖北省市场营销学会常务理事、中国高等院校市场学研究会新媒体营销专业委员会秘书长。</w:t>
      </w:r>
    </w:p>
    <w:p>
      <w:pPr>
        <w:keepNext w:val="0"/>
        <w:keepLines w:val="0"/>
        <w:pageBreakBefore w:val="0"/>
        <w:widowControl w:val="0"/>
        <w:tabs>
          <w:tab w:val="left" w:pos="916"/>
          <w:tab w:val="left" w:pos="12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adjustRightInd w:val="0"/>
        <w:snapToGrid w:val="0"/>
        <w:spacing w:line="360" w:lineRule="auto"/>
        <w:ind w:firstLine="480" w:firstLineChars="200"/>
        <w:textAlignment w:val="auto"/>
        <w:rPr>
          <w:rFonts w:hint="eastAsia" w:ascii="楷体" w:hAnsi="楷体" w:eastAsia="楷体"/>
          <w:sz w:val="24"/>
        </w:rPr>
      </w:pPr>
      <w:r>
        <w:rPr>
          <w:rFonts w:hint="eastAsia" w:ascii="宋体" w:hAnsi="Calibri" w:cs="宋体"/>
          <w:color w:val="000000"/>
          <w:sz w:val="24"/>
        </w:rPr>
        <w:t>未持有公司股份，不存在《公司法》《公司章程》等规定的不得担任公司独立董事的情形；未受过中国证监会及其他有关部门的处罚和证券交易所纪律处分；未因涉嫌犯罪被司法机关立案侦查或涉嫌违法违规被中国证监会立案稽查；未被列为失信被执行人；符合有关法律、行政法规、部门规章、规范性文件、《股票上市规则》及交易所其他相关规定等要求的任职资格。未与持有公司5%以上股份的股东、实际控制人、公司其他董事、监事和高级管理人员存在关联关系。</w:t>
      </w:r>
    </w:p>
    <w:p>
      <w:pPr>
        <w:spacing w:line="400" w:lineRule="exact"/>
        <w:jc w:val="left"/>
        <w:rPr>
          <w:rFonts w:hint="eastAsia" w:ascii="楷体" w:hAnsi="楷体" w:eastAsia="楷体"/>
          <w:sz w:val="24"/>
        </w:rPr>
      </w:pPr>
    </w:p>
    <w:p>
      <w:pPr>
        <w:spacing w:line="400" w:lineRule="exact"/>
        <w:jc w:val="left"/>
        <w:rPr>
          <w:rFonts w:hint="eastAsia" w:ascii="楷体" w:hAnsi="楷体" w:eastAsia="楷体"/>
          <w:sz w:val="24"/>
        </w:rPr>
      </w:pPr>
    </w:p>
    <w:p>
      <w:pPr>
        <w:spacing w:line="400" w:lineRule="exact"/>
        <w:jc w:val="left"/>
        <w:rPr>
          <w:rFonts w:hint="eastAsia" w:ascii="楷体" w:hAnsi="楷体" w:eastAsia="楷体"/>
          <w:sz w:val="24"/>
        </w:rPr>
      </w:pPr>
    </w:p>
    <w:p>
      <w:pPr>
        <w:spacing w:line="400" w:lineRule="exact"/>
        <w:jc w:val="left"/>
        <w:rPr>
          <w:rFonts w:hint="eastAsia" w:ascii="楷体" w:hAnsi="楷体" w:eastAsia="楷体"/>
          <w:sz w:val="24"/>
        </w:rPr>
      </w:pPr>
    </w:p>
    <w:p>
      <w:pPr>
        <w:spacing w:line="400" w:lineRule="exact"/>
        <w:jc w:val="left"/>
        <w:rPr>
          <w:rFonts w:hint="eastAsia" w:ascii="楷体" w:hAnsi="楷体" w:eastAsia="楷体"/>
          <w:sz w:val="24"/>
        </w:rPr>
      </w:pPr>
    </w:p>
    <w:p>
      <w:pPr>
        <w:spacing w:line="400" w:lineRule="exact"/>
        <w:jc w:val="left"/>
        <w:rPr>
          <w:rFonts w:hint="eastAsia" w:ascii="楷体" w:hAnsi="楷体" w:eastAsia="楷体"/>
          <w:sz w:val="24"/>
        </w:rPr>
      </w:pPr>
    </w:p>
    <w:p>
      <w:pPr>
        <w:spacing w:line="400" w:lineRule="exact"/>
        <w:jc w:val="left"/>
        <w:rPr>
          <w:rFonts w:hint="eastAsia" w:ascii="楷体" w:hAnsi="楷体" w:eastAsia="楷体"/>
          <w:sz w:val="24"/>
        </w:rPr>
      </w:pPr>
    </w:p>
    <w:p>
      <w:pPr>
        <w:spacing w:line="400" w:lineRule="exact"/>
        <w:jc w:val="left"/>
        <w:rPr>
          <w:rFonts w:hint="eastAsia" w:ascii="楷体" w:hAnsi="楷体" w:eastAsia="楷体"/>
          <w:sz w:val="24"/>
        </w:rPr>
      </w:pPr>
    </w:p>
    <w:p>
      <w:pPr>
        <w:spacing w:line="400" w:lineRule="exact"/>
        <w:jc w:val="left"/>
        <w:rPr>
          <w:rFonts w:hint="eastAsia" w:ascii="楷体" w:hAnsi="楷体" w:eastAsia="楷体"/>
          <w:sz w:val="24"/>
        </w:rPr>
      </w:pPr>
    </w:p>
    <w:p>
      <w:pPr>
        <w:spacing w:line="400" w:lineRule="exact"/>
        <w:jc w:val="left"/>
        <w:rPr>
          <w:rFonts w:hint="eastAsia" w:ascii="楷体" w:hAnsi="楷体" w:eastAsia="楷体"/>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宋体"/>
    <w:panose1 w:val="00000000000000000000"/>
    <w:charset w:val="86"/>
    <w:family w:val="auto"/>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2YmQ2ZDI5NTY5ODZhYmZiNTg1MWIwOWQ4ZmRhOTkifQ=="/>
  </w:docVars>
  <w:rsids>
    <w:rsidRoot w:val="703F67E5"/>
    <w:rsid w:val="0F0C3A5B"/>
    <w:rsid w:val="0F22235A"/>
    <w:rsid w:val="2BEB0A76"/>
    <w:rsid w:val="4344430F"/>
    <w:rsid w:val="449F670D"/>
    <w:rsid w:val="63452E4E"/>
    <w:rsid w:val="68297D70"/>
    <w:rsid w:val="6A132F25"/>
    <w:rsid w:val="6EA15987"/>
    <w:rsid w:val="6F4E00C9"/>
    <w:rsid w:val="703F67E5"/>
    <w:rsid w:val="7C2F5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正文（首行缩进）"/>
    <w:basedOn w:val="3"/>
    <w:next w:val="5"/>
    <w:qFormat/>
    <w:uiPriority w:val="0"/>
    <w:pPr>
      <w:snapToGrid w:val="0"/>
      <w:spacing w:line="288" w:lineRule="auto"/>
      <w:ind w:firstLine="880"/>
    </w:pPr>
    <w:rPr>
      <w:rFonts w:eastAsia="方正书宋简体"/>
      <w:sz w:val="24"/>
      <w:szCs w:val="21"/>
    </w:rPr>
  </w:style>
  <w:style w:type="paragraph" w:styleId="3">
    <w:name w:val="Body Text First Indent"/>
    <w:basedOn w:val="4"/>
    <w:semiHidden/>
    <w:unhideWhenUsed/>
    <w:qFormat/>
    <w:uiPriority w:val="0"/>
    <w:pPr>
      <w:ind w:firstLine="420" w:firstLineChars="100"/>
    </w:pPr>
    <w:rPr>
      <w:rFonts w:ascii="Calibri" w:hAnsi="Calibri"/>
      <w:szCs w:val="22"/>
    </w:rPr>
  </w:style>
  <w:style w:type="paragraph" w:styleId="4">
    <w:name w:val="Body Text"/>
    <w:basedOn w:val="1"/>
    <w:qFormat/>
    <w:uiPriority w:val="0"/>
    <w:pPr>
      <w:spacing w:after="120"/>
    </w:pPr>
  </w:style>
  <w:style w:type="paragraph" w:styleId="5">
    <w:name w:val="Balloon Text"/>
    <w:basedOn w:val="1"/>
    <w:semiHidden/>
    <w:qFormat/>
    <w:uiPriority w:val="0"/>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character" w:customStyle="1" w:styleId="9">
    <w:name w:val="da"/>
    <w:basedOn w:val="8"/>
    <w:qFormat/>
    <w:uiPriority w:val="0"/>
  </w:style>
  <w:style w:type="paragraph" w:customStyle="1" w:styleId="1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11">
    <w:name w:val="da1"/>
    <w:qFormat/>
    <w:uiPriority w:val="0"/>
    <w:rPr>
      <w:rFonts w:hint="default" w:ascii="ˎ̥" w:hAnsi="ˎ̥"/>
      <w:color w:val="000000"/>
      <w:sz w:val="21"/>
      <w:szCs w:val="21"/>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1064</Words>
  <Characters>1110</Characters>
  <Lines>0</Lines>
  <Paragraphs>0</Paragraphs>
  <TotalTime>0</TotalTime>
  <ScaleCrop>false</ScaleCrop>
  <LinksUpToDate>false</LinksUpToDate>
  <CharactersWithSpaces>1180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2022-07-05T00:48:00Z</dcterms:created>
  <dc:creator>王茂</dc:creator>
  <cp:lastModifiedBy>王茂</cp:lastModifiedBy>
  <dcterms:modified xsi:type="dcterms:W3CDTF">2022-07-06T09:24:32Z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C16971A98197453CADB001786608E5EE</vt:lpwstr>
  </property>
</Properties>
</file>